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7177" w14:textId="77777777" w:rsidR="00CC08DC" w:rsidRPr="00855312" w:rsidRDefault="00CC08DC">
      <w:pPr>
        <w:pStyle w:val="berschrift1"/>
        <w:spacing w:after="240" w:line="260" w:lineRule="exact"/>
        <w:rPr>
          <w:rFonts w:ascii="Garamond" w:hAnsi="Garamond"/>
          <w:sz w:val="26"/>
          <w:szCs w:val="26"/>
        </w:rPr>
      </w:pPr>
      <w:r w:rsidRPr="00855312">
        <w:rPr>
          <w:rFonts w:ascii="Garamond" w:hAnsi="Garamond"/>
          <w:sz w:val="26"/>
          <w:szCs w:val="26"/>
        </w:rPr>
        <w:t>Prof. Dr. Carola Groppe</w:t>
      </w:r>
    </w:p>
    <w:p w14:paraId="7003CE59" w14:textId="77777777" w:rsidR="00CC08DC" w:rsidRPr="00855312" w:rsidRDefault="00974595">
      <w:pPr>
        <w:spacing w:line="260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>Publikationen</w:t>
      </w:r>
    </w:p>
    <w:p w14:paraId="45C6FEB8" w14:textId="77777777" w:rsidR="00C1375D" w:rsidRPr="00855312" w:rsidRDefault="00C1375D">
      <w:pPr>
        <w:spacing w:line="260" w:lineRule="exact"/>
        <w:jc w:val="both"/>
        <w:rPr>
          <w:rFonts w:ascii="Garamond" w:hAnsi="Garamond"/>
          <w:b/>
          <w:sz w:val="26"/>
          <w:szCs w:val="26"/>
        </w:rPr>
      </w:pPr>
    </w:p>
    <w:p w14:paraId="5D1030A7" w14:textId="3FE70298" w:rsidR="00974595" w:rsidRPr="00855312" w:rsidRDefault="00C1375D">
      <w:pPr>
        <w:spacing w:line="260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 xml:space="preserve">(Stand: </w:t>
      </w:r>
      <w:r w:rsidR="00490176" w:rsidRPr="00855312">
        <w:rPr>
          <w:rFonts w:ascii="Garamond" w:hAnsi="Garamond"/>
          <w:b/>
          <w:sz w:val="26"/>
          <w:szCs w:val="26"/>
        </w:rPr>
        <w:t>10.04.2024</w:t>
      </w:r>
      <w:r w:rsidRPr="00855312">
        <w:rPr>
          <w:rFonts w:ascii="Garamond" w:hAnsi="Garamond"/>
          <w:b/>
          <w:sz w:val="26"/>
          <w:szCs w:val="26"/>
        </w:rPr>
        <w:t>)</w:t>
      </w:r>
    </w:p>
    <w:p w14:paraId="51276E7A" w14:textId="77777777" w:rsidR="00974595" w:rsidRPr="00855312" w:rsidRDefault="00974595">
      <w:pPr>
        <w:spacing w:line="260" w:lineRule="exact"/>
        <w:jc w:val="both"/>
        <w:rPr>
          <w:rFonts w:ascii="Garamond" w:hAnsi="Garamond"/>
          <w:b/>
          <w:sz w:val="26"/>
          <w:szCs w:val="26"/>
        </w:rPr>
      </w:pPr>
    </w:p>
    <w:p w14:paraId="70C6292A" w14:textId="77777777" w:rsidR="00CC08DC" w:rsidRPr="00855312" w:rsidRDefault="00381838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>Monographien</w:t>
      </w:r>
      <w:r w:rsidR="00CC08DC" w:rsidRPr="00855312">
        <w:rPr>
          <w:rFonts w:ascii="Garamond" w:hAnsi="Garamond"/>
          <w:b/>
          <w:sz w:val="26"/>
          <w:szCs w:val="26"/>
        </w:rPr>
        <w:t>:</w:t>
      </w:r>
    </w:p>
    <w:p w14:paraId="7D263135" w14:textId="77777777" w:rsidR="00CC08DC" w:rsidRPr="00855312" w:rsidRDefault="00CC08DC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3D3AAF52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Die Macht der Bildung. Das deutsche Bürgertum und der George-Kreis 1890–1933. </w:t>
      </w:r>
      <w:r w:rsidRPr="00855312">
        <w:rPr>
          <w:i/>
          <w:sz w:val="26"/>
          <w:szCs w:val="26"/>
        </w:rPr>
        <w:t>Dissertation</w:t>
      </w:r>
      <w:r w:rsidRPr="00855312">
        <w:rPr>
          <w:sz w:val="26"/>
          <w:szCs w:val="26"/>
        </w:rPr>
        <w:t>, Böhlau-Verlag, Köln, Weimar, Wien 1997</w:t>
      </w:r>
      <w:r w:rsidR="00D22812" w:rsidRPr="00855312">
        <w:rPr>
          <w:sz w:val="26"/>
          <w:szCs w:val="26"/>
        </w:rPr>
        <w:t xml:space="preserve"> (707 S.)</w:t>
      </w:r>
      <w:r w:rsidRPr="00855312">
        <w:rPr>
          <w:sz w:val="26"/>
          <w:szCs w:val="26"/>
        </w:rPr>
        <w:t xml:space="preserve">. </w:t>
      </w:r>
    </w:p>
    <w:p w14:paraId="0F64BA61" w14:textId="77777777" w:rsidR="00CC08DC" w:rsidRPr="00855312" w:rsidRDefault="00CC08DC" w:rsidP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Die Macht der Bildung. Das deutsche Bürgertum und der George-Kreis 1890–1933, 2. Aufl. Böhlau-Verlag, Köln, Weimar, Wien 2001</w:t>
      </w:r>
      <w:r w:rsidR="00D22812" w:rsidRPr="00855312">
        <w:rPr>
          <w:sz w:val="26"/>
          <w:szCs w:val="26"/>
        </w:rPr>
        <w:t xml:space="preserve"> (707 S.)</w:t>
      </w:r>
      <w:r w:rsidRPr="00855312">
        <w:rPr>
          <w:sz w:val="26"/>
          <w:szCs w:val="26"/>
        </w:rPr>
        <w:t>.</w:t>
      </w:r>
    </w:p>
    <w:p w14:paraId="264EC9B2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Der Geist des Unternehmertums – Eine Bildungs- und Sozialgeschichte. Die Seidenfa</w:t>
      </w:r>
      <w:r w:rsidRPr="00855312">
        <w:rPr>
          <w:sz w:val="26"/>
          <w:szCs w:val="26"/>
        </w:rPr>
        <w:softHyphen/>
        <w:t xml:space="preserve">brikantenfamilie Colsman (1649–1840), </w:t>
      </w:r>
      <w:r w:rsidRPr="00855312">
        <w:rPr>
          <w:i/>
          <w:sz w:val="26"/>
          <w:szCs w:val="26"/>
        </w:rPr>
        <w:t>Habilitationsschrift</w:t>
      </w:r>
      <w:r w:rsidRPr="00855312">
        <w:rPr>
          <w:sz w:val="26"/>
          <w:szCs w:val="26"/>
        </w:rPr>
        <w:t>, Böhlau-Verlag, Köln, Wei</w:t>
      </w:r>
      <w:r w:rsidRPr="00855312">
        <w:rPr>
          <w:sz w:val="26"/>
          <w:szCs w:val="26"/>
        </w:rPr>
        <w:softHyphen/>
        <w:t>mar, Wien 2004</w:t>
      </w:r>
      <w:r w:rsidR="00D22812" w:rsidRPr="00855312">
        <w:rPr>
          <w:sz w:val="26"/>
          <w:szCs w:val="26"/>
        </w:rPr>
        <w:t xml:space="preserve"> (597 S.)</w:t>
      </w:r>
      <w:r w:rsidRPr="00855312">
        <w:rPr>
          <w:sz w:val="26"/>
          <w:szCs w:val="26"/>
        </w:rPr>
        <w:t>.</w:t>
      </w:r>
    </w:p>
    <w:p w14:paraId="379C7CD1" w14:textId="77777777" w:rsidR="00D22812" w:rsidRPr="00855312" w:rsidRDefault="00D22812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Im deutschen Kaiserreich. Eine Bildungsgeschichte des Bürgertums 1871–1918. Böhlau/Vandenhoeck &amp; Ruprecht, </w:t>
      </w:r>
      <w:r w:rsidR="00741DFA" w:rsidRPr="00855312">
        <w:rPr>
          <w:sz w:val="26"/>
          <w:szCs w:val="26"/>
        </w:rPr>
        <w:t xml:space="preserve">Wien, </w:t>
      </w:r>
      <w:r w:rsidRPr="00855312">
        <w:rPr>
          <w:sz w:val="26"/>
          <w:szCs w:val="26"/>
        </w:rPr>
        <w:t>Köln, Weimar 2018 (528 S.</w:t>
      </w:r>
      <w:r w:rsidR="00741DFA" w:rsidRPr="00855312">
        <w:rPr>
          <w:sz w:val="26"/>
          <w:szCs w:val="26"/>
        </w:rPr>
        <w:t>)</w:t>
      </w:r>
      <w:r w:rsidRPr="00855312">
        <w:rPr>
          <w:sz w:val="26"/>
          <w:szCs w:val="26"/>
        </w:rPr>
        <w:t>.</w:t>
      </w:r>
    </w:p>
    <w:p w14:paraId="096D3EE3" w14:textId="77777777" w:rsidR="00CC08DC" w:rsidRPr="00855312" w:rsidRDefault="00CC08DC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3F123F97" w14:textId="77777777" w:rsidR="00CC08DC" w:rsidRPr="00855312" w:rsidRDefault="00381838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>Aufsätze</w:t>
      </w:r>
      <w:r w:rsidR="00CC08DC" w:rsidRPr="00855312">
        <w:rPr>
          <w:rFonts w:ascii="Garamond" w:hAnsi="Garamond"/>
          <w:b/>
          <w:sz w:val="26"/>
          <w:szCs w:val="26"/>
        </w:rPr>
        <w:t>:</w:t>
      </w:r>
    </w:p>
    <w:p w14:paraId="3A1E5561" w14:textId="77777777" w:rsidR="00CC08DC" w:rsidRPr="00855312" w:rsidRDefault="00CC08DC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38BE35B1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Das ‚Theorem der Gestaltlosigkeit‘. Die Auflösung des ‚anthropozentrischen Verhal</w:t>
      </w:r>
      <w:r w:rsidRPr="00855312">
        <w:rPr>
          <w:sz w:val="26"/>
          <w:szCs w:val="26"/>
        </w:rPr>
        <w:softHyphen/>
        <w:t>tens‘ in Robert Musils Roman ‚Der Mann ohne Eigenschaften’</w:t>
      </w:r>
      <w:r w:rsidR="00AD1982" w:rsidRPr="00855312">
        <w:rPr>
          <w:sz w:val="26"/>
          <w:szCs w:val="26"/>
        </w:rPr>
        <w:t>. I</w:t>
      </w:r>
      <w:r w:rsidRPr="00855312">
        <w:rPr>
          <w:sz w:val="26"/>
          <w:szCs w:val="26"/>
        </w:rPr>
        <w:t>n: Germanisch-Roma</w:t>
      </w:r>
      <w:r w:rsidR="003E1A9D" w:rsidRPr="00855312">
        <w:rPr>
          <w:sz w:val="26"/>
          <w:szCs w:val="26"/>
        </w:rPr>
        <w:softHyphen/>
      </w:r>
      <w:r w:rsidRPr="00855312">
        <w:rPr>
          <w:sz w:val="26"/>
          <w:szCs w:val="26"/>
        </w:rPr>
        <w:t>nische Monatsschrift, Neue Folge, Bd. 46 (1996), Heft 1, hrsg. v. Conrad Wiedemann, Universitätsverlag C. Winter, Heidelberg, S. 71</w:t>
      </w:r>
      <w:r w:rsidR="002C632A" w:rsidRPr="00855312">
        <w:rPr>
          <w:sz w:val="26"/>
          <w:szCs w:val="26"/>
        </w:rPr>
        <w:t>–</w:t>
      </w:r>
      <w:r w:rsidRPr="00855312">
        <w:rPr>
          <w:sz w:val="26"/>
          <w:szCs w:val="26"/>
        </w:rPr>
        <w:t>89.</w:t>
      </w:r>
    </w:p>
    <w:p w14:paraId="741E9DC4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Widerstand oder Anpassung? Der George-Kreis und das Entscheidungsjahr 1933</w:t>
      </w:r>
      <w:r w:rsidR="00AD1982" w:rsidRPr="00855312">
        <w:rPr>
          <w:sz w:val="26"/>
          <w:szCs w:val="26"/>
        </w:rPr>
        <w:t>. I</w:t>
      </w:r>
      <w:r w:rsidRPr="00855312">
        <w:rPr>
          <w:sz w:val="26"/>
          <w:szCs w:val="26"/>
        </w:rPr>
        <w:t>n: Günther Rüther (Hrsg.): Literatur in der Diktatur. Schreiben im Nationalsozialismus und DDR-Sozialismus, Verlag Ferdinand Schöningh, Paderborn, München u.a. 1997, S. 59</w:t>
      </w:r>
      <w:r w:rsidR="002C632A" w:rsidRPr="00855312">
        <w:rPr>
          <w:sz w:val="26"/>
          <w:szCs w:val="26"/>
        </w:rPr>
        <w:t>–</w:t>
      </w:r>
      <w:r w:rsidRPr="00855312">
        <w:rPr>
          <w:sz w:val="26"/>
          <w:szCs w:val="26"/>
        </w:rPr>
        <w:t>92.</w:t>
      </w:r>
    </w:p>
    <w:p w14:paraId="55975992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gem. mit Klaus Harney und Michael-Sebastian Honig: Geschichte der Familie, Kind</w:t>
      </w:r>
      <w:r w:rsidRPr="00855312">
        <w:rPr>
          <w:sz w:val="26"/>
          <w:szCs w:val="26"/>
        </w:rPr>
        <w:softHyphen/>
        <w:t>heit und Jugend</w:t>
      </w:r>
      <w:r w:rsidR="00AD1982" w:rsidRPr="00855312">
        <w:rPr>
          <w:sz w:val="26"/>
          <w:szCs w:val="26"/>
        </w:rPr>
        <w:t>. I</w:t>
      </w:r>
      <w:r w:rsidRPr="00855312">
        <w:rPr>
          <w:sz w:val="26"/>
          <w:szCs w:val="26"/>
        </w:rPr>
        <w:t>n: Klaus Harney, Heinz-Hermann Krüger (Hrsg.): Einführung in die Geschichte von Erziehungswissenschaft und Erziehungswirklichkeit = Einführungs</w:t>
      </w:r>
      <w:r w:rsidRPr="00855312">
        <w:rPr>
          <w:sz w:val="26"/>
          <w:szCs w:val="26"/>
        </w:rPr>
        <w:softHyphen/>
        <w:t>kurs Erziehungswissenschaft Bd. 3, Verlag Leske + Budrich, Opladen 1997, S. 157</w:t>
      </w:r>
      <w:r w:rsidR="002C632A" w:rsidRPr="00855312">
        <w:rPr>
          <w:sz w:val="26"/>
          <w:szCs w:val="26"/>
        </w:rPr>
        <w:t>–</w:t>
      </w:r>
      <w:r w:rsidRPr="00855312">
        <w:rPr>
          <w:sz w:val="26"/>
          <w:szCs w:val="26"/>
        </w:rPr>
        <w:t>181.</w:t>
      </w:r>
    </w:p>
    <w:p w14:paraId="2A540923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„Dein rechter lehrer bin ich wenn ich liebe, mein rechter hörer bist du wenn du liebst.“ Erziehungskonzepte und Erziehungsformen im George-Kreis</w:t>
      </w:r>
      <w:r w:rsidR="00AD1982" w:rsidRPr="00855312">
        <w:rPr>
          <w:sz w:val="26"/>
          <w:szCs w:val="26"/>
        </w:rPr>
        <w:t>. I</w:t>
      </w:r>
      <w:r w:rsidRPr="00855312">
        <w:rPr>
          <w:sz w:val="26"/>
          <w:szCs w:val="26"/>
        </w:rPr>
        <w:t>n: George-Jahrbuch Bd. 2, hrsg. v. Wolfgang Braungart und Ute Oelmann, 1997/98, Niemeyer-Verlag, Tü</w:t>
      </w:r>
      <w:r w:rsidRPr="00855312">
        <w:rPr>
          <w:sz w:val="26"/>
          <w:szCs w:val="26"/>
        </w:rPr>
        <w:softHyphen/>
        <w:t>bingen 1998, S.</w:t>
      </w:r>
      <w:r w:rsidR="002C632A" w:rsidRPr="00855312">
        <w:rPr>
          <w:sz w:val="26"/>
          <w:szCs w:val="26"/>
        </w:rPr>
        <w:t xml:space="preserve"> </w:t>
      </w:r>
      <w:r w:rsidRPr="00855312">
        <w:rPr>
          <w:sz w:val="26"/>
          <w:szCs w:val="26"/>
        </w:rPr>
        <w:t>107</w:t>
      </w:r>
      <w:r w:rsidR="002C632A" w:rsidRPr="00855312">
        <w:rPr>
          <w:sz w:val="26"/>
          <w:szCs w:val="26"/>
        </w:rPr>
        <w:t>–</w:t>
      </w:r>
      <w:r w:rsidRPr="00855312">
        <w:rPr>
          <w:sz w:val="26"/>
          <w:szCs w:val="26"/>
        </w:rPr>
        <w:t>140.</w:t>
      </w:r>
    </w:p>
    <w:p w14:paraId="74EF480C" w14:textId="77777777" w:rsidR="00CC08DC" w:rsidRPr="00855312" w:rsidRDefault="00CC08D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Das Wunder der Verwandlung. Die jüdischen Mitglieder im George-Kreis zwischen Jahrhundertwende, Nationalsozialismus und Exil</w:t>
      </w:r>
      <w:r w:rsidR="00AD1982" w:rsidRPr="00855312">
        <w:rPr>
          <w:sz w:val="26"/>
          <w:szCs w:val="26"/>
        </w:rPr>
        <w:t>. I</w:t>
      </w:r>
      <w:r w:rsidRPr="00855312">
        <w:rPr>
          <w:sz w:val="26"/>
          <w:szCs w:val="26"/>
        </w:rPr>
        <w:t>n: Friedrich Voit, August Ober</w:t>
      </w:r>
      <w:r w:rsidRPr="00855312">
        <w:rPr>
          <w:sz w:val="26"/>
          <w:szCs w:val="26"/>
        </w:rPr>
        <w:softHyphen/>
        <w:t>mayer (Hrsg.): Exul Poeta. Leben und Werk Karl Wolfskehls im italienischen und neu</w:t>
      </w:r>
      <w:r w:rsidRPr="00855312">
        <w:rPr>
          <w:sz w:val="26"/>
          <w:szCs w:val="26"/>
        </w:rPr>
        <w:softHyphen/>
        <w:t>seeländischen Exil 1933–1948. Beiträge zum Symposium anläßlich des 50. Todestages, Auckland, 31. August – 2. September 1998, Verlag University of Otago, Dunedin 1999, S. 7</w:t>
      </w:r>
      <w:r w:rsidR="002C632A" w:rsidRPr="00855312">
        <w:rPr>
          <w:sz w:val="26"/>
          <w:szCs w:val="26"/>
        </w:rPr>
        <w:t>–</w:t>
      </w:r>
      <w:r w:rsidRPr="00855312">
        <w:rPr>
          <w:sz w:val="26"/>
          <w:szCs w:val="26"/>
        </w:rPr>
        <w:t>46.</w:t>
      </w:r>
    </w:p>
    <w:p w14:paraId="1AABE760" w14:textId="77777777" w:rsidR="00CC08DC" w:rsidRPr="00855312" w:rsidRDefault="008C1C1E" w:rsidP="00716DD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CC08DC" w:rsidRPr="00855312">
        <w:rPr>
          <w:sz w:val="26"/>
          <w:szCs w:val="26"/>
        </w:rPr>
        <w:t>„Verschwunden ist die Arena von Olympia“. Zum Verhältnis von Ästhetizismus, Ju</w:t>
      </w:r>
      <w:r w:rsidR="00CC08DC" w:rsidRPr="00855312">
        <w:rPr>
          <w:sz w:val="26"/>
          <w:szCs w:val="26"/>
        </w:rPr>
        <w:softHyphen/>
        <w:t>gendstil und Bildungsidee bei Rudolf Borchardt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Andreas Beyer, Dieter Burdorf (Hrsg.): Jugendstil und Kulturkritik. Zur Literatur und Kunst um 1900, Universitäts</w:t>
      </w:r>
      <w:r w:rsidR="00CC08DC" w:rsidRPr="00855312">
        <w:rPr>
          <w:sz w:val="26"/>
          <w:szCs w:val="26"/>
        </w:rPr>
        <w:softHyphen/>
        <w:t>verlag C. Winter, Heidelberg 1999, S. 111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137.</w:t>
      </w:r>
    </w:p>
    <w:p w14:paraId="4FD820D2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Identität durch Bildung. Das deutsch-jüdische Bürgertum in seinen Selbstbeschreibun</w:t>
      </w:r>
      <w:r w:rsidR="00CC08DC" w:rsidRPr="00855312">
        <w:rPr>
          <w:sz w:val="26"/>
          <w:szCs w:val="26"/>
        </w:rPr>
        <w:softHyphen/>
        <w:t>gen am Beispiel des George-Kreises vor und nach 1933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Jahrbuch für historische Bildungsforschung 5, 1999, hrsg. von Christa Berg, Peter Dudek u.a., Verlag Julius Klinkhardt, Bad Heilbrunn</w:t>
      </w:r>
      <w:r w:rsidR="008741DB" w:rsidRPr="00855312">
        <w:rPr>
          <w:sz w:val="26"/>
          <w:szCs w:val="26"/>
        </w:rPr>
        <w:t>/Obb.</w:t>
      </w:r>
      <w:r w:rsidR="00CC08DC" w:rsidRPr="00855312">
        <w:rPr>
          <w:sz w:val="26"/>
          <w:szCs w:val="26"/>
        </w:rPr>
        <w:t xml:space="preserve"> 1999, S. 167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196.</w:t>
      </w:r>
    </w:p>
    <w:p w14:paraId="316FF50D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  <w:lang w:val="nl-NL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Neubeginn durch einen dritten Humanismus? Der preußische Kultusminister Carl Hein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rich Becker und der George-Kreis in der Weimarer Republik</w:t>
      </w:r>
      <w:r w:rsidR="00AD1982" w:rsidRPr="00855312">
        <w:rPr>
          <w:sz w:val="26"/>
          <w:szCs w:val="26"/>
        </w:rPr>
        <w:t xml:space="preserve">. </w:t>
      </w:r>
      <w:r w:rsidR="00AD1982" w:rsidRPr="00855312">
        <w:rPr>
          <w:sz w:val="26"/>
          <w:szCs w:val="26"/>
          <w:lang w:val="nl-NL"/>
        </w:rPr>
        <w:t>I</w:t>
      </w:r>
      <w:r w:rsidR="00CC08DC" w:rsidRPr="00855312">
        <w:rPr>
          <w:sz w:val="26"/>
          <w:szCs w:val="26"/>
          <w:lang w:val="nl-NL"/>
        </w:rPr>
        <w:t>n: Castrum Pere</w:t>
      </w:r>
      <w:r w:rsidR="00CC08DC" w:rsidRPr="00855312">
        <w:rPr>
          <w:sz w:val="26"/>
          <w:szCs w:val="26"/>
          <w:lang w:val="nl-NL"/>
        </w:rPr>
        <w:softHyphen/>
        <w:t>grini, 49. Jg., Heft 244–245, Verlag Castrum Peregrini, Amsterdam 2000, S. 41</w:t>
      </w:r>
      <w:r w:rsidR="002C632A" w:rsidRPr="00855312">
        <w:rPr>
          <w:sz w:val="26"/>
          <w:szCs w:val="26"/>
          <w:lang w:val="nl-NL"/>
        </w:rPr>
        <w:t>–</w:t>
      </w:r>
      <w:r w:rsidR="00CC08DC" w:rsidRPr="00855312">
        <w:rPr>
          <w:sz w:val="26"/>
          <w:szCs w:val="26"/>
          <w:lang w:val="nl-NL"/>
        </w:rPr>
        <w:t>61.</w:t>
      </w:r>
    </w:p>
    <w:p w14:paraId="2F18C89E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  <w:lang w:val="nl-NL"/>
        </w:rPr>
        <w:t xml:space="preserve"> </w:t>
      </w:r>
      <w:r w:rsidR="00CC08DC" w:rsidRPr="00855312">
        <w:rPr>
          <w:sz w:val="26"/>
          <w:szCs w:val="26"/>
        </w:rPr>
        <w:t>Art. Körperkultur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 xml:space="preserve">n: Manfred Landfester (i. Verb. mit Hubert Cancik und Helmuth Schneider) (Hrsg.): </w:t>
      </w:r>
      <w:r w:rsidR="00CC08DC" w:rsidRPr="00855312">
        <w:rPr>
          <w:smallCaps/>
          <w:sz w:val="26"/>
          <w:szCs w:val="26"/>
        </w:rPr>
        <w:t>Der neue Pauly</w:t>
      </w:r>
      <w:r w:rsidR="00CC08DC" w:rsidRPr="00855312">
        <w:rPr>
          <w:sz w:val="26"/>
          <w:szCs w:val="26"/>
        </w:rPr>
        <w:t>. Enzyklopädie der Antike. Rezeptions- und Wis</w:t>
      </w:r>
      <w:r w:rsidR="00CC08DC" w:rsidRPr="00855312">
        <w:rPr>
          <w:sz w:val="26"/>
          <w:szCs w:val="26"/>
        </w:rPr>
        <w:softHyphen/>
        <w:t>senschaftsgeschichte, Bd. 14, Fr – Ky, Verlag J. B. Metzler, Stuttgart, Weimar 2000, Sp. 1042</w:t>
      </w:r>
      <w:r w:rsidR="00703952" w:rsidRPr="00855312">
        <w:rPr>
          <w:sz w:val="26"/>
          <w:szCs w:val="26"/>
        </w:rPr>
        <w:t>-</w:t>
      </w:r>
      <w:r w:rsidR="00CC08DC" w:rsidRPr="00855312">
        <w:rPr>
          <w:sz w:val="26"/>
          <w:szCs w:val="26"/>
        </w:rPr>
        <w:t>1054.</w:t>
      </w:r>
    </w:p>
    <w:p w14:paraId="64D52785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Art. Neohumanismus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Manfred Landfester (i. Verb. mit Hubert Cancik und Hel</w:t>
      </w:r>
      <w:r w:rsidR="00CC08DC" w:rsidRPr="00855312">
        <w:rPr>
          <w:sz w:val="26"/>
          <w:szCs w:val="26"/>
        </w:rPr>
        <w:softHyphen/>
        <w:t xml:space="preserve">muth Schneider) (Hrsg.): </w:t>
      </w:r>
      <w:r w:rsidR="00CC08DC" w:rsidRPr="00855312">
        <w:rPr>
          <w:smallCaps/>
          <w:sz w:val="26"/>
          <w:szCs w:val="26"/>
        </w:rPr>
        <w:t>Der neue Pauly</w:t>
      </w:r>
      <w:r w:rsidR="00CC08DC" w:rsidRPr="00855312">
        <w:rPr>
          <w:sz w:val="26"/>
          <w:szCs w:val="26"/>
        </w:rPr>
        <w:t>. Enzyklopädie der Antike. Rezeptions- und Wissenschaftsgeschichte, Bd. 15/1, La – Ot, Verlag J. B. Metzler, Stuttgart, Wei</w:t>
      </w:r>
      <w:r w:rsidR="00CC08DC" w:rsidRPr="00855312">
        <w:rPr>
          <w:sz w:val="26"/>
          <w:szCs w:val="26"/>
        </w:rPr>
        <w:softHyphen/>
        <w:t>mar 2001, Sp. 883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894.</w:t>
      </w:r>
    </w:p>
    <w:p w14:paraId="6059F627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Der Geist des Kapitalismus. Lebensform und Sozialisationsprozesse im Unternehmer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tum des 19. Jahrhunderts. Eine bildungshistorische Fallstudie der Unternehmerfamilie Colsman in Langenberg/Velbert zwischen 1750 und 1930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Mitteilungsblatt des In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stituts für soziale Bewegungen. Forschung und Forschungsberichte, Heft 24, 2000, hrsg. von Klaus Tenfelde, S. 66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94.</w:t>
      </w:r>
    </w:p>
    <w:p w14:paraId="76451207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Friedrich Gundolf und Friedrich Wolters. Kon</w:t>
      </w:r>
      <w:r w:rsidR="00A1361A" w:rsidRPr="00855312">
        <w:rPr>
          <w:sz w:val="26"/>
          <w:szCs w:val="26"/>
        </w:rPr>
        <w:t xml:space="preserve">kurrierende </w:t>
      </w:r>
      <w:r w:rsidR="00CC08DC" w:rsidRPr="00855312">
        <w:rPr>
          <w:sz w:val="26"/>
          <w:szCs w:val="26"/>
        </w:rPr>
        <w:t>Weltanschauungsmodelle im Kontext von Kreisentwicklung und Außenwirkung des George-Kreises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Wolf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gang Braungart, Ute Oelmann, Bernhard Böschenstein (Hrsg.): Stefan George: Werk und Wirkung seit dem ‚Siebenten Ring‘, Niemeyer-Verlag, Tübingen 2001, S. 265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282.</w:t>
      </w:r>
    </w:p>
    <w:p w14:paraId="52D18AE8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Deutscher Beamter, jüdischer Emigrant. Der Kammergerichtsrat Dr. Ernst Morwitz</w:t>
      </w:r>
      <w:r w:rsidR="00AD1982" w:rsidRPr="00855312">
        <w:rPr>
          <w:sz w:val="26"/>
          <w:szCs w:val="26"/>
        </w:rPr>
        <w:t>.</w:t>
      </w:r>
      <w:r w:rsidR="00CC08DC" w:rsidRPr="00855312">
        <w:rPr>
          <w:sz w:val="26"/>
          <w:szCs w:val="26"/>
        </w:rPr>
        <w:t xml:space="preserve"> </w:t>
      </w:r>
      <w:r w:rsidR="00AD1982" w:rsidRPr="00855312">
        <w:rPr>
          <w:sz w:val="26"/>
          <w:szCs w:val="26"/>
        </w:rPr>
        <w:t>In</w:t>
      </w:r>
      <w:r w:rsidR="00CC08DC" w:rsidRPr="00855312">
        <w:rPr>
          <w:sz w:val="26"/>
          <w:szCs w:val="26"/>
        </w:rPr>
        <w:t>: Gert Mattenklott, Michael Philipp, Julius H. Schoeps (Hrsg.): „Verkannte brüder“? Stefan George und das deutsch-jüdische Bürgertum zwischen Jahrhundertwende und Emigration, Georg Olms-Verlag, Hildesheim, Zürich, New York 2001, S. 85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 xml:space="preserve">100. </w:t>
      </w:r>
    </w:p>
    <w:p w14:paraId="4BCAC391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Deutscher Beamter, jüdischer Emigrant. Der Kammergerichtsrat Dr. Ernst Morwitz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Castrum Peregrini, 50. Jg., Heft 247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249, Verlag Castrum Peregrini, Amsterdam 2001, S. 92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116 (Wiederabdruck).</w:t>
      </w:r>
    </w:p>
    <w:p w14:paraId="3CBD70FC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einstündiges Radiofeature für den Südwestrundfunk, Mainz: „Welch ein schimmer traf mich vom südlichen meer?“ Stefan George und die Rheinlandschaft. (Sendetermin 15. Dezember 2001, SWR 2).</w:t>
      </w:r>
    </w:p>
    <w:p w14:paraId="4AA44F2F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Die Welt des Geldes. Paul Ernst und die Intellektuellen seiner Zeit: Georg Simmel, Rudolf Borchardt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Horst Thomé (Hrsg.): Paul Ernst. Außenseiter und Zeitgenosse, Verlag Königshausen &amp; Neumann, Würzburg 2002, S. 133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158.</w:t>
      </w:r>
    </w:p>
    <w:p w14:paraId="1C7E9D89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CC08DC" w:rsidRPr="00855312">
        <w:rPr>
          <w:sz w:val="26"/>
          <w:szCs w:val="26"/>
        </w:rPr>
        <w:t>Diskursivierungen der Antikerezeption im Bildungssystem des deutschen Kaiserreichs</w:t>
      </w:r>
      <w:r w:rsidR="00AD1982" w:rsidRPr="00855312">
        <w:rPr>
          <w:sz w:val="26"/>
          <w:szCs w:val="26"/>
        </w:rPr>
        <w:t>.</w:t>
      </w:r>
      <w:r w:rsidR="00CC08DC" w:rsidRPr="00855312">
        <w:rPr>
          <w:sz w:val="26"/>
          <w:szCs w:val="26"/>
        </w:rPr>
        <w:t xml:space="preserve"> </w:t>
      </w:r>
      <w:r w:rsidR="00AD1982" w:rsidRPr="00855312">
        <w:rPr>
          <w:sz w:val="26"/>
          <w:szCs w:val="26"/>
        </w:rPr>
        <w:t>In</w:t>
      </w:r>
      <w:r w:rsidR="00CC08DC" w:rsidRPr="00855312">
        <w:rPr>
          <w:sz w:val="26"/>
          <w:szCs w:val="26"/>
        </w:rPr>
        <w:t>: Achim Aurnhammer, Thomas Pittrof (Hrsg.): Mehr Dionysos als Apoll? Antiklassi</w:t>
      </w:r>
      <w:r w:rsidR="00CC08DC" w:rsidRPr="00855312">
        <w:rPr>
          <w:sz w:val="26"/>
          <w:szCs w:val="26"/>
        </w:rPr>
        <w:softHyphen/>
        <w:t>zistische Antikerezeption um 1900, Verlag Vittorio Klosterma</w:t>
      </w:r>
      <w:r w:rsidR="00703952" w:rsidRPr="00855312">
        <w:rPr>
          <w:sz w:val="26"/>
          <w:szCs w:val="26"/>
        </w:rPr>
        <w:t>nn, Frankfurt a. M. 2002, S. 21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44.</w:t>
      </w:r>
    </w:p>
    <w:p w14:paraId="406E53FB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Vom Bürgerhaus zur Villa: bürgerlich-pädagogische Architektur zwischen 1800 und 1900 am Beispiel der Seidenfabrikantenfamilie Colsman in Langenberg/Velbert im Bergischen Land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Heidemarie Kemnitz, Franz-Josef Jelich (Hrsg.): Die pädagogi</w:t>
      </w:r>
      <w:r w:rsidR="00CC08DC" w:rsidRPr="00855312">
        <w:rPr>
          <w:sz w:val="26"/>
          <w:szCs w:val="26"/>
        </w:rPr>
        <w:softHyphen/>
        <w:t>sche Gestaltung des Raums – Geschichte und Modernität, Verlag Julius Klinkhardt, Bad Heilbrunn</w:t>
      </w:r>
      <w:r w:rsidR="006B5315" w:rsidRPr="00855312">
        <w:rPr>
          <w:sz w:val="26"/>
          <w:szCs w:val="26"/>
        </w:rPr>
        <w:t>/Obb.</w:t>
      </w:r>
      <w:r w:rsidR="00CC08DC" w:rsidRPr="00855312">
        <w:rPr>
          <w:sz w:val="26"/>
          <w:szCs w:val="26"/>
        </w:rPr>
        <w:t xml:space="preserve"> 2003, S. 169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184.</w:t>
      </w:r>
    </w:p>
    <w:p w14:paraId="63989B66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Kloster, Hof und Stadt als Bildungswelten des Mittelalters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Zeitschrift für Religions- und Geistesgeschichte, hrsg. von Joachim H. Knoll, Julius H. Schoeps u. a., 55. Jg., Heft 4, 2003, S. 289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 xml:space="preserve">311. </w:t>
      </w:r>
    </w:p>
    <w:p w14:paraId="708E8260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Die Rolle der Familie im Kontext ganztägiger Bildungseinrichtungen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Hans-Uwe Otto, Thomas Coelen (Hrsg.): Grundbegriffe der Ganztagsbildung. Beiträge zu einem neuen Bildungsverständnis in der Wissensgesellschaft, VS Verlag für Sozialwissen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schaften, Wiesbaden 2004, S. 165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179.</w:t>
      </w:r>
    </w:p>
    <w:p w14:paraId="262C936A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Stefan George, der George-Kreis und die Reformpädagogik zwischen Jahrhundert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wende und Weimarer Republik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 xml:space="preserve">n: Bernhard Böschenstein, Jürgen Egyptien, Bertram Schefold, Wolfgang Graf Vitzthum (Hrsg.): Wissenschaftler im George-Kreis. Die Welt des Dichters und der Beruf der Wissenschaft, </w:t>
      </w:r>
      <w:r w:rsidR="008741DB" w:rsidRPr="00855312">
        <w:rPr>
          <w:sz w:val="26"/>
          <w:szCs w:val="26"/>
        </w:rPr>
        <w:t xml:space="preserve">Verlag </w:t>
      </w:r>
      <w:r w:rsidR="00CC08DC" w:rsidRPr="00855312">
        <w:rPr>
          <w:sz w:val="26"/>
          <w:szCs w:val="26"/>
        </w:rPr>
        <w:t xml:space="preserve">Walter de Gruyter, Berlin, New York 2005, </w:t>
      </w:r>
      <w:r w:rsidR="003E165D" w:rsidRPr="00855312">
        <w:rPr>
          <w:sz w:val="26"/>
          <w:szCs w:val="26"/>
        </w:rPr>
        <w:t xml:space="preserve">S. </w:t>
      </w:r>
      <w:r w:rsidR="00CC08DC" w:rsidRPr="00855312">
        <w:rPr>
          <w:sz w:val="26"/>
          <w:szCs w:val="26"/>
        </w:rPr>
        <w:t>311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327.</w:t>
      </w:r>
    </w:p>
    <w:p w14:paraId="17200AC6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Pädagogik im 19. Jahrhundert. Pädagogische Denkformen, Erziehungswirklichkeit und Bildungssystementwicklung um 1800 und 1900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Klaus Harney, Heinz-Hermann Krüger (Hrsg.): Einführung in die Geschichte der Erziehungswissenschaft und Erzie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hungswirklichkeit = Einführungskurs Erziehungswissenschaft Bd. 3, Verlag Barbara Budrich, 3. erw. und aktual. Aufl., Opladen &amp; Bloomfield Hills 2006, S. 37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70.</w:t>
      </w:r>
    </w:p>
    <w:p w14:paraId="434A096C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Bildungselite contra Elitebildung. Ein Beitrag zur reflektierten Aufnahme des Elitebeg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riffs in der Erziehungswissenschaft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Jutta Ecarius, Lothar Wigger (Hrsg.): Elitebil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dung – Bildungselite. Erziehungswissenschaftliche Diskussionen und Befunde über Bildung und soziale Ungleichheit, Verlag Barbara Budrich, Opladen 2006, S. 94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116.</w:t>
      </w:r>
    </w:p>
    <w:p w14:paraId="0A58569E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Familienstrategien und Bildungswege in Unternehmerfamilien 1840</w:t>
      </w:r>
      <w:r w:rsidR="00473803" w:rsidRPr="00855312">
        <w:rPr>
          <w:rFonts w:cs="Arial"/>
          <w:szCs w:val="24"/>
        </w:rPr>
        <w:t>–</w:t>
      </w:r>
      <w:r w:rsidR="00CC08DC" w:rsidRPr="00855312">
        <w:rPr>
          <w:sz w:val="26"/>
          <w:szCs w:val="26"/>
        </w:rPr>
        <w:t>1920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Zeit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schrift für Pädagogik Jg. 52, Heft 5, 2006, S. 630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641.</w:t>
      </w:r>
    </w:p>
    <w:p w14:paraId="79FFB1D4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„Die Rheinprovinzen sind zum großen Preußen zugeteilt worden...“. Prozesse politi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scher Identitätsbildung in der Rheinprovinz am Beispiel des Wirtschaftsbürgertums (1790-1840)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Gisela Miller-Kipp, Bernd Zymek (Hrsg.)</w:t>
      </w:r>
      <w:r w:rsidR="00F0525F" w:rsidRPr="00855312">
        <w:rPr>
          <w:sz w:val="26"/>
          <w:szCs w:val="26"/>
        </w:rPr>
        <w:t>:</w:t>
      </w:r>
      <w:r w:rsidR="00CC08DC" w:rsidRPr="00855312">
        <w:rPr>
          <w:sz w:val="26"/>
          <w:szCs w:val="26"/>
        </w:rPr>
        <w:t xml:space="preserve"> Politik in der Bildungsge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 xml:space="preserve">schichte </w:t>
      </w:r>
      <w:r w:rsidR="00AA58B7" w:rsidRPr="00855312">
        <w:rPr>
          <w:sz w:val="26"/>
          <w:szCs w:val="26"/>
        </w:rPr>
        <w:t>-</w:t>
      </w:r>
      <w:r w:rsidR="00CC08DC" w:rsidRPr="00855312">
        <w:rPr>
          <w:sz w:val="26"/>
          <w:szCs w:val="26"/>
        </w:rPr>
        <w:t xml:space="preserve"> Befunde, Prozesse, Diskurse, </w:t>
      </w:r>
      <w:r w:rsidR="006B5315" w:rsidRPr="00855312">
        <w:rPr>
          <w:sz w:val="26"/>
          <w:szCs w:val="26"/>
        </w:rPr>
        <w:t xml:space="preserve">Verlag Julius Klinkhardt, </w:t>
      </w:r>
      <w:r w:rsidR="00CC08DC" w:rsidRPr="00855312">
        <w:rPr>
          <w:sz w:val="26"/>
          <w:szCs w:val="26"/>
        </w:rPr>
        <w:t>Bad Heilbrunn</w:t>
      </w:r>
      <w:r w:rsidR="006B5315" w:rsidRPr="00855312">
        <w:rPr>
          <w:sz w:val="26"/>
          <w:szCs w:val="26"/>
        </w:rPr>
        <w:t>/Obb.</w:t>
      </w:r>
      <w:r w:rsidR="00CC08DC" w:rsidRPr="00855312">
        <w:rPr>
          <w:sz w:val="26"/>
          <w:szCs w:val="26"/>
        </w:rPr>
        <w:t xml:space="preserve"> 2006, S. 247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264.</w:t>
      </w:r>
    </w:p>
    <w:p w14:paraId="61560853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Jugend im Vormärz. Eine Fallstudie aus dem Wirtschaftsbürgertum im Bergischen Land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>n: Jahrbuch Vormärz 2006: Jugend im Vormärz, h</w:t>
      </w:r>
      <w:r w:rsidR="00F0525F" w:rsidRPr="00855312">
        <w:rPr>
          <w:sz w:val="26"/>
          <w:szCs w:val="26"/>
        </w:rPr>
        <w:t>rs</w:t>
      </w:r>
      <w:r w:rsidR="00CC08DC" w:rsidRPr="00855312">
        <w:rPr>
          <w:sz w:val="26"/>
          <w:szCs w:val="26"/>
        </w:rPr>
        <w:t>g. von Rainer Kolk, Biele</w:t>
      </w:r>
      <w:r w:rsidR="00515D37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feld 2007, S. 25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48.</w:t>
      </w:r>
    </w:p>
    <w:p w14:paraId="3C8A5129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CC08DC" w:rsidRPr="00855312">
        <w:rPr>
          <w:sz w:val="26"/>
          <w:szCs w:val="26"/>
        </w:rPr>
        <w:t>Familiengedächtnisse und Familienstrategien</w:t>
      </w:r>
      <w:r w:rsidR="00AD1982" w:rsidRPr="00855312">
        <w:rPr>
          <w:sz w:val="26"/>
          <w:szCs w:val="26"/>
        </w:rPr>
        <w:t>. I</w:t>
      </w:r>
      <w:r w:rsidR="00CC08DC" w:rsidRPr="00855312">
        <w:rPr>
          <w:sz w:val="26"/>
          <w:szCs w:val="26"/>
        </w:rPr>
        <w:t xml:space="preserve">n: </w:t>
      </w:r>
      <w:r w:rsidR="00AD1982" w:rsidRPr="00855312">
        <w:rPr>
          <w:sz w:val="26"/>
          <w:szCs w:val="26"/>
        </w:rPr>
        <w:t xml:space="preserve">Jutta </w:t>
      </w:r>
      <w:r w:rsidR="00CC08DC" w:rsidRPr="00855312">
        <w:rPr>
          <w:sz w:val="26"/>
          <w:szCs w:val="26"/>
        </w:rPr>
        <w:t>Ecarius (Hrsg.)</w:t>
      </w:r>
      <w:r w:rsidR="00F0525F" w:rsidRPr="00855312">
        <w:rPr>
          <w:sz w:val="26"/>
          <w:szCs w:val="26"/>
        </w:rPr>
        <w:t>:</w:t>
      </w:r>
      <w:r w:rsidR="00CC08DC" w:rsidRPr="00855312">
        <w:rPr>
          <w:sz w:val="26"/>
          <w:szCs w:val="26"/>
        </w:rPr>
        <w:t xml:space="preserve"> Handbuch Familie, </w:t>
      </w:r>
      <w:r w:rsidR="006B5315" w:rsidRPr="00855312">
        <w:rPr>
          <w:sz w:val="26"/>
          <w:szCs w:val="26"/>
        </w:rPr>
        <w:t xml:space="preserve">VS Verlag für Sozialwissenschaften, </w:t>
      </w:r>
      <w:r w:rsidR="00CC08DC" w:rsidRPr="00855312">
        <w:rPr>
          <w:sz w:val="26"/>
          <w:szCs w:val="26"/>
        </w:rPr>
        <w:t>Wiesbaden 2007, S. 406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423.</w:t>
      </w:r>
    </w:p>
    <w:p w14:paraId="21587926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 xml:space="preserve">Bildung und Habitus in Bürgerfamilien um 1900. Ästhetische Praxis und soziale Distinktion: Wer liebt welche Kunst? </w:t>
      </w:r>
      <w:r w:rsidR="00AD1982" w:rsidRPr="00855312">
        <w:rPr>
          <w:sz w:val="26"/>
          <w:szCs w:val="26"/>
        </w:rPr>
        <w:t>I</w:t>
      </w:r>
      <w:r w:rsidR="00CC08DC" w:rsidRPr="00855312">
        <w:rPr>
          <w:sz w:val="26"/>
          <w:szCs w:val="26"/>
        </w:rPr>
        <w:t xml:space="preserve">n: </w:t>
      </w:r>
      <w:r w:rsidR="00AD1982" w:rsidRPr="00855312">
        <w:rPr>
          <w:sz w:val="26"/>
          <w:szCs w:val="26"/>
        </w:rPr>
        <w:t xml:space="preserve">Jan </w:t>
      </w:r>
      <w:r w:rsidR="00CC08DC" w:rsidRPr="00855312">
        <w:rPr>
          <w:sz w:val="26"/>
          <w:szCs w:val="26"/>
        </w:rPr>
        <w:t xml:space="preserve">Andres, </w:t>
      </w:r>
      <w:r w:rsidR="00AD1982" w:rsidRPr="00855312">
        <w:rPr>
          <w:sz w:val="26"/>
          <w:szCs w:val="26"/>
        </w:rPr>
        <w:t xml:space="preserve">Wolfgang </w:t>
      </w:r>
      <w:r w:rsidR="00CC08DC" w:rsidRPr="00855312">
        <w:rPr>
          <w:sz w:val="26"/>
          <w:szCs w:val="26"/>
        </w:rPr>
        <w:t>Braungart</w:t>
      </w:r>
      <w:r w:rsidR="00AD1982" w:rsidRPr="00855312">
        <w:rPr>
          <w:sz w:val="26"/>
          <w:szCs w:val="26"/>
        </w:rPr>
        <w:t xml:space="preserve">, Kai </w:t>
      </w:r>
      <w:r w:rsidR="00CC08DC" w:rsidRPr="00855312">
        <w:rPr>
          <w:sz w:val="26"/>
          <w:szCs w:val="26"/>
        </w:rPr>
        <w:t>Kauff</w:t>
      </w:r>
      <w:r w:rsidR="003E1A9D" w:rsidRPr="00855312">
        <w:rPr>
          <w:sz w:val="26"/>
          <w:szCs w:val="26"/>
        </w:rPr>
        <w:softHyphen/>
      </w:r>
      <w:r w:rsidR="00CC08DC" w:rsidRPr="00855312">
        <w:rPr>
          <w:sz w:val="26"/>
          <w:szCs w:val="26"/>
        </w:rPr>
        <w:t>mann (H</w:t>
      </w:r>
      <w:r w:rsidR="00F0525F" w:rsidRPr="00855312">
        <w:rPr>
          <w:sz w:val="26"/>
          <w:szCs w:val="26"/>
        </w:rPr>
        <w:t>rs</w:t>
      </w:r>
      <w:r w:rsidR="00CC08DC" w:rsidRPr="00855312">
        <w:rPr>
          <w:sz w:val="26"/>
          <w:szCs w:val="26"/>
        </w:rPr>
        <w:t>g.)</w:t>
      </w:r>
      <w:r w:rsidR="00F0525F" w:rsidRPr="00855312">
        <w:rPr>
          <w:sz w:val="26"/>
          <w:szCs w:val="26"/>
        </w:rPr>
        <w:t>:</w:t>
      </w:r>
      <w:r w:rsidR="00CC08DC" w:rsidRPr="00855312">
        <w:rPr>
          <w:sz w:val="26"/>
          <w:szCs w:val="26"/>
        </w:rPr>
        <w:t xml:space="preserve"> „Nichts als die Schönheit“. Ästhetischer Konservatismus um 1900, </w:t>
      </w:r>
      <w:r w:rsidR="008741DB" w:rsidRPr="00855312">
        <w:rPr>
          <w:sz w:val="26"/>
          <w:szCs w:val="26"/>
        </w:rPr>
        <w:t xml:space="preserve">Campus Verlag, </w:t>
      </w:r>
      <w:r w:rsidR="00CC08DC" w:rsidRPr="00855312">
        <w:rPr>
          <w:sz w:val="26"/>
          <w:szCs w:val="26"/>
        </w:rPr>
        <w:t>Frankfurt a.M.</w:t>
      </w:r>
      <w:r w:rsidR="008741DB" w:rsidRPr="00855312">
        <w:rPr>
          <w:sz w:val="26"/>
          <w:szCs w:val="26"/>
        </w:rPr>
        <w:t>, New York</w:t>
      </w:r>
      <w:r w:rsidR="00CC08DC" w:rsidRPr="00855312">
        <w:rPr>
          <w:sz w:val="26"/>
          <w:szCs w:val="26"/>
        </w:rPr>
        <w:t xml:space="preserve"> 2007, S. 56</w:t>
      </w:r>
      <w:r w:rsidR="002C632A" w:rsidRPr="00855312">
        <w:rPr>
          <w:sz w:val="26"/>
          <w:szCs w:val="26"/>
        </w:rPr>
        <w:t>–</w:t>
      </w:r>
      <w:r w:rsidR="00CC08DC" w:rsidRPr="00855312">
        <w:rPr>
          <w:sz w:val="26"/>
          <w:szCs w:val="26"/>
        </w:rPr>
        <w:t>76.</w:t>
      </w:r>
    </w:p>
    <w:p w14:paraId="5A2C65D1" w14:textId="77777777" w:rsidR="00084DBB" w:rsidRPr="00855312" w:rsidRDefault="008C1C1E" w:rsidP="00084DB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084DBB" w:rsidRPr="00855312">
        <w:rPr>
          <w:sz w:val="26"/>
          <w:szCs w:val="26"/>
        </w:rPr>
        <w:t>Erziehung, Sozialisation und Selbstsozialisation als epochale Leitbegriffe und Deu</w:t>
      </w:r>
      <w:r w:rsidR="00084DBB" w:rsidRPr="00855312">
        <w:rPr>
          <w:sz w:val="26"/>
          <w:szCs w:val="26"/>
        </w:rPr>
        <w:softHyphen/>
        <w:t>tungsmuster</w:t>
      </w:r>
      <w:r w:rsidR="00AD1982" w:rsidRPr="00855312">
        <w:rPr>
          <w:sz w:val="26"/>
          <w:szCs w:val="26"/>
        </w:rPr>
        <w:t>. I</w:t>
      </w:r>
      <w:r w:rsidR="00084DBB" w:rsidRPr="00855312">
        <w:rPr>
          <w:sz w:val="26"/>
          <w:szCs w:val="26"/>
        </w:rPr>
        <w:t xml:space="preserve">n: Lothar Wigger, Winfried Marotzki (Hrsg.): Erziehungsdiskurse, </w:t>
      </w:r>
      <w:r w:rsidR="008741DB" w:rsidRPr="00855312">
        <w:rPr>
          <w:sz w:val="26"/>
          <w:szCs w:val="26"/>
        </w:rPr>
        <w:t xml:space="preserve">Verlag </w:t>
      </w:r>
      <w:r w:rsidR="00084DBB" w:rsidRPr="00855312">
        <w:rPr>
          <w:sz w:val="26"/>
          <w:szCs w:val="26"/>
        </w:rPr>
        <w:t>Julius Klinkhardt</w:t>
      </w:r>
      <w:r w:rsidR="008741DB" w:rsidRPr="00855312">
        <w:rPr>
          <w:sz w:val="26"/>
          <w:szCs w:val="26"/>
        </w:rPr>
        <w:t>,</w:t>
      </w:r>
      <w:r w:rsidR="00084DBB" w:rsidRPr="00855312">
        <w:rPr>
          <w:sz w:val="26"/>
          <w:szCs w:val="26"/>
        </w:rPr>
        <w:t xml:space="preserve"> </w:t>
      </w:r>
      <w:r w:rsidR="006B5315" w:rsidRPr="00855312">
        <w:rPr>
          <w:sz w:val="26"/>
          <w:szCs w:val="26"/>
        </w:rPr>
        <w:t xml:space="preserve">Bad </w:t>
      </w:r>
      <w:r w:rsidR="006C6DD7" w:rsidRPr="00855312">
        <w:rPr>
          <w:sz w:val="26"/>
          <w:szCs w:val="26"/>
        </w:rPr>
        <w:t xml:space="preserve">Heilbrunn/Obb. </w:t>
      </w:r>
      <w:r w:rsidR="00084DBB" w:rsidRPr="00855312">
        <w:rPr>
          <w:sz w:val="26"/>
          <w:szCs w:val="26"/>
        </w:rPr>
        <w:t>2008, S. 75</w:t>
      </w:r>
      <w:r w:rsidR="002C632A" w:rsidRPr="00855312">
        <w:rPr>
          <w:sz w:val="26"/>
          <w:szCs w:val="26"/>
        </w:rPr>
        <w:t>–</w:t>
      </w:r>
      <w:r w:rsidR="00084DBB" w:rsidRPr="00855312">
        <w:rPr>
          <w:sz w:val="26"/>
          <w:szCs w:val="26"/>
        </w:rPr>
        <w:t>9</w:t>
      </w:r>
      <w:r w:rsidR="008709EF" w:rsidRPr="00855312">
        <w:rPr>
          <w:sz w:val="26"/>
          <w:szCs w:val="26"/>
        </w:rPr>
        <w:t>3</w:t>
      </w:r>
      <w:r w:rsidR="00084DBB" w:rsidRPr="00855312">
        <w:rPr>
          <w:sz w:val="26"/>
          <w:szCs w:val="26"/>
        </w:rPr>
        <w:t>.</w:t>
      </w:r>
    </w:p>
    <w:p w14:paraId="744AF9E9" w14:textId="77777777" w:rsidR="006C6DD7" w:rsidRPr="00855312" w:rsidRDefault="008C1C1E" w:rsidP="00084DB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6C6DD7" w:rsidRPr="00855312">
        <w:rPr>
          <w:sz w:val="26"/>
          <w:szCs w:val="26"/>
        </w:rPr>
        <w:t>„Die Universität gehört uns“. Lehr-, Lern- und Handlungsformen an der Universität in der 68er Bewegung.</w:t>
      </w:r>
      <w:r w:rsidR="00B2404F" w:rsidRPr="00855312">
        <w:rPr>
          <w:sz w:val="26"/>
          <w:szCs w:val="26"/>
        </w:rPr>
        <w:t xml:space="preserve"> </w:t>
      </w:r>
      <w:r w:rsidR="006C6DD7" w:rsidRPr="00855312">
        <w:rPr>
          <w:sz w:val="26"/>
          <w:szCs w:val="26"/>
        </w:rPr>
        <w:t>In: Meike Baader (Hrsg.)</w:t>
      </w:r>
      <w:r w:rsidR="00F0525F" w:rsidRPr="00855312">
        <w:rPr>
          <w:sz w:val="26"/>
          <w:szCs w:val="26"/>
        </w:rPr>
        <w:t>:</w:t>
      </w:r>
      <w:r w:rsidR="006C6DD7" w:rsidRPr="00855312">
        <w:rPr>
          <w:sz w:val="26"/>
          <w:szCs w:val="26"/>
        </w:rPr>
        <w:t xml:space="preserve"> „Seid realistisch, verlangt das Unmögli</w:t>
      </w:r>
      <w:r w:rsidR="003E1A9D" w:rsidRPr="00855312">
        <w:rPr>
          <w:sz w:val="26"/>
          <w:szCs w:val="26"/>
        </w:rPr>
        <w:softHyphen/>
      </w:r>
      <w:r w:rsidR="006C6DD7" w:rsidRPr="00855312">
        <w:rPr>
          <w:sz w:val="26"/>
          <w:szCs w:val="26"/>
        </w:rPr>
        <w:t>che!“ Wie 1968 die Pädagogik bewegte. Beltz Verlag, Weinheim, Basel 2008, S. 121</w:t>
      </w:r>
      <w:r w:rsidR="002C632A" w:rsidRPr="00855312">
        <w:rPr>
          <w:sz w:val="26"/>
          <w:szCs w:val="26"/>
        </w:rPr>
        <w:t>–</w:t>
      </w:r>
      <w:r w:rsidR="006C6DD7" w:rsidRPr="00855312">
        <w:rPr>
          <w:sz w:val="26"/>
          <w:szCs w:val="26"/>
        </w:rPr>
        <w:t>140.</w:t>
      </w:r>
    </w:p>
    <w:p w14:paraId="7B624A90" w14:textId="77777777" w:rsidR="00B40771" w:rsidRPr="00855312" w:rsidRDefault="008C1C1E" w:rsidP="00B4077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B40771" w:rsidRPr="00855312">
        <w:rPr>
          <w:sz w:val="26"/>
          <w:szCs w:val="26"/>
        </w:rPr>
        <w:t>Die Vereinigte Gesellschaft in Langenberg als Bildungsraum der Unternehmer - Auf dem Weg in die moderne Gesellschaft (1798-1830). In: Romerike Berge. Zeitschrift für das Bergische Land, 58. Jg., Heft 2, 2008, S. 5</w:t>
      </w:r>
      <w:r w:rsidR="002C632A" w:rsidRPr="00855312">
        <w:rPr>
          <w:sz w:val="26"/>
          <w:szCs w:val="26"/>
        </w:rPr>
        <w:t>–</w:t>
      </w:r>
      <w:r w:rsidR="00B40771" w:rsidRPr="00855312">
        <w:rPr>
          <w:sz w:val="26"/>
          <w:szCs w:val="26"/>
        </w:rPr>
        <w:t>20.</w:t>
      </w:r>
    </w:p>
    <w:p w14:paraId="04D37E50" w14:textId="77777777" w:rsidR="00614DAB" w:rsidRPr="00855312" w:rsidRDefault="008C1C1E" w:rsidP="00B4077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614DAB" w:rsidRPr="00855312">
        <w:rPr>
          <w:sz w:val="26"/>
          <w:szCs w:val="26"/>
        </w:rPr>
        <w:t>Vom Bildungswert der (Bildungs-)geschichte. In: Zeitschrift für pädagogische Historiographie, 14. Jg. 2009, S. 75</w:t>
      </w:r>
      <w:r w:rsidR="002C632A" w:rsidRPr="00855312">
        <w:rPr>
          <w:sz w:val="26"/>
          <w:szCs w:val="26"/>
        </w:rPr>
        <w:t>–</w:t>
      </w:r>
      <w:r w:rsidR="00614DAB" w:rsidRPr="00855312">
        <w:rPr>
          <w:sz w:val="26"/>
          <w:szCs w:val="26"/>
        </w:rPr>
        <w:t>76.</w:t>
      </w:r>
    </w:p>
    <w:p w14:paraId="40A16A40" w14:textId="77777777" w:rsidR="00C56AB6" w:rsidRPr="00855312" w:rsidRDefault="008C1C1E" w:rsidP="00B4077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56AB6" w:rsidRPr="00855312">
        <w:rPr>
          <w:sz w:val="26"/>
          <w:szCs w:val="26"/>
        </w:rPr>
        <w:t>Theoretische und methodologische Voraussetzungen und Probleme einer bildungshistorischen Familienbiographie – Versuch einer Modellbildung</w:t>
      </w:r>
      <w:r w:rsidR="00AD1982" w:rsidRPr="00855312">
        <w:rPr>
          <w:sz w:val="26"/>
          <w:szCs w:val="26"/>
        </w:rPr>
        <w:t>. I</w:t>
      </w:r>
      <w:r w:rsidR="00C56AB6" w:rsidRPr="00855312">
        <w:rPr>
          <w:sz w:val="26"/>
          <w:szCs w:val="26"/>
        </w:rPr>
        <w:t>n: dies.,</w:t>
      </w:r>
      <w:r w:rsidR="007755F3" w:rsidRPr="00855312">
        <w:rPr>
          <w:sz w:val="26"/>
          <w:szCs w:val="26"/>
        </w:rPr>
        <w:t xml:space="preserve"> </w:t>
      </w:r>
      <w:r w:rsidR="00C56AB6" w:rsidRPr="00855312">
        <w:rPr>
          <w:sz w:val="26"/>
          <w:szCs w:val="26"/>
        </w:rPr>
        <w:t>Jutta Ecarius, Hans Malmede (H</w:t>
      </w:r>
      <w:r w:rsidR="00F0525F" w:rsidRPr="00855312">
        <w:rPr>
          <w:sz w:val="26"/>
          <w:szCs w:val="26"/>
        </w:rPr>
        <w:t>rs</w:t>
      </w:r>
      <w:r w:rsidR="00C56AB6" w:rsidRPr="00855312">
        <w:rPr>
          <w:sz w:val="26"/>
          <w:szCs w:val="26"/>
        </w:rPr>
        <w:t>g.)</w:t>
      </w:r>
      <w:r w:rsidR="00F0525F" w:rsidRPr="00855312">
        <w:rPr>
          <w:sz w:val="26"/>
          <w:szCs w:val="26"/>
        </w:rPr>
        <w:t>:</w:t>
      </w:r>
      <w:r w:rsidR="00C56AB6" w:rsidRPr="00855312">
        <w:rPr>
          <w:sz w:val="26"/>
          <w:szCs w:val="26"/>
        </w:rPr>
        <w:t xml:space="preserve"> Familie und öffentliche Erziehung. Theoretische Zu</w:t>
      </w:r>
      <w:r w:rsidR="003E1A9D" w:rsidRPr="00855312">
        <w:rPr>
          <w:sz w:val="26"/>
          <w:szCs w:val="26"/>
        </w:rPr>
        <w:softHyphen/>
      </w:r>
      <w:r w:rsidR="00C56AB6" w:rsidRPr="00855312">
        <w:rPr>
          <w:sz w:val="26"/>
          <w:szCs w:val="26"/>
        </w:rPr>
        <w:t xml:space="preserve">gänge, historische Analysen, aktuelle Perspektiven. VS-Verlag </w:t>
      </w:r>
      <w:r w:rsidR="006B5315" w:rsidRPr="00855312">
        <w:rPr>
          <w:sz w:val="26"/>
          <w:szCs w:val="26"/>
        </w:rPr>
        <w:t xml:space="preserve">für Sozialwissenschaften, </w:t>
      </w:r>
      <w:r w:rsidR="00C56AB6" w:rsidRPr="00855312">
        <w:rPr>
          <w:sz w:val="26"/>
          <w:szCs w:val="26"/>
        </w:rPr>
        <w:t>Wiesbaden 200</w:t>
      </w:r>
      <w:r w:rsidR="00491DD1" w:rsidRPr="00855312">
        <w:rPr>
          <w:sz w:val="26"/>
          <w:szCs w:val="26"/>
        </w:rPr>
        <w:t>9</w:t>
      </w:r>
      <w:r w:rsidR="00C56AB6" w:rsidRPr="00855312">
        <w:rPr>
          <w:sz w:val="26"/>
          <w:szCs w:val="26"/>
        </w:rPr>
        <w:t>, S. 93</w:t>
      </w:r>
      <w:r w:rsidR="002C632A" w:rsidRPr="00855312">
        <w:rPr>
          <w:sz w:val="26"/>
          <w:szCs w:val="26"/>
        </w:rPr>
        <w:t>–</w:t>
      </w:r>
      <w:r w:rsidR="00C56AB6" w:rsidRPr="00855312">
        <w:rPr>
          <w:sz w:val="26"/>
          <w:szCs w:val="26"/>
        </w:rPr>
        <w:t>116.</w:t>
      </w:r>
    </w:p>
    <w:p w14:paraId="0B75F305" w14:textId="77777777" w:rsidR="004F71E0" w:rsidRPr="00855312" w:rsidRDefault="008C1C1E" w:rsidP="004F71E0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4F71E0" w:rsidRPr="00855312">
        <w:rPr>
          <w:sz w:val="26"/>
          <w:szCs w:val="26"/>
        </w:rPr>
        <w:t>Bürgerliche Lebensführung im Zeichen der Balance. Funktionen und Ideale der Bil</w:t>
      </w:r>
      <w:r w:rsidR="003E1A9D" w:rsidRPr="00855312">
        <w:rPr>
          <w:sz w:val="26"/>
          <w:szCs w:val="26"/>
        </w:rPr>
        <w:softHyphen/>
      </w:r>
      <w:r w:rsidR="004F71E0" w:rsidRPr="00855312">
        <w:rPr>
          <w:sz w:val="26"/>
          <w:szCs w:val="26"/>
        </w:rPr>
        <w:t>dung in Theorie und Praxis des George-Kreises in der Weimarer Republik</w:t>
      </w:r>
      <w:r w:rsidR="00AD1982" w:rsidRPr="00855312">
        <w:rPr>
          <w:sz w:val="26"/>
          <w:szCs w:val="26"/>
        </w:rPr>
        <w:t>. I</w:t>
      </w:r>
      <w:r w:rsidR="004F71E0" w:rsidRPr="00855312">
        <w:rPr>
          <w:sz w:val="26"/>
          <w:szCs w:val="26"/>
        </w:rPr>
        <w:t>n: Roman Köster, Werner Plumpe, Bertram Schefold, Korinna Schönhärl (Hrsg.)</w:t>
      </w:r>
      <w:r w:rsidR="00F0525F" w:rsidRPr="00855312">
        <w:rPr>
          <w:sz w:val="26"/>
          <w:szCs w:val="26"/>
        </w:rPr>
        <w:t>:</w:t>
      </w:r>
      <w:r w:rsidR="004F71E0" w:rsidRPr="00855312">
        <w:rPr>
          <w:sz w:val="26"/>
          <w:szCs w:val="26"/>
        </w:rPr>
        <w:t xml:space="preserve"> Das Ideal des schönen Lebens und die Wirklichkeit der Weimarer Republik. Vorstellungen von Staat und Gemeinschaft im George-Kreis, Akademie Verlag</w:t>
      </w:r>
      <w:r w:rsidR="008741DB" w:rsidRPr="00855312">
        <w:rPr>
          <w:sz w:val="26"/>
          <w:szCs w:val="26"/>
        </w:rPr>
        <w:t xml:space="preserve">, Berlin </w:t>
      </w:r>
      <w:r w:rsidR="004F71E0" w:rsidRPr="00855312">
        <w:rPr>
          <w:sz w:val="26"/>
          <w:szCs w:val="26"/>
        </w:rPr>
        <w:t>2009, S. 137</w:t>
      </w:r>
      <w:r w:rsidR="002C632A" w:rsidRPr="00855312">
        <w:rPr>
          <w:sz w:val="26"/>
          <w:szCs w:val="26"/>
        </w:rPr>
        <w:t>–</w:t>
      </w:r>
      <w:r w:rsidR="004F71E0" w:rsidRPr="00855312">
        <w:rPr>
          <w:sz w:val="26"/>
          <w:szCs w:val="26"/>
        </w:rPr>
        <w:t>150.</w:t>
      </w:r>
    </w:p>
    <w:p w14:paraId="46F8AB28" w14:textId="77777777" w:rsidR="00A27374" w:rsidRPr="00855312" w:rsidRDefault="008C1C1E" w:rsidP="00A27374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A27374" w:rsidRPr="00855312">
        <w:rPr>
          <w:sz w:val="26"/>
          <w:szCs w:val="26"/>
        </w:rPr>
        <w:t>Kommentar zum Thementeil</w:t>
      </w:r>
      <w:r w:rsidR="00C97187" w:rsidRPr="00855312">
        <w:rPr>
          <w:sz w:val="26"/>
          <w:szCs w:val="26"/>
        </w:rPr>
        <w:t xml:space="preserve"> Schulkultur(en) in historischer Perspektive</w:t>
      </w:r>
      <w:r w:rsidR="00A27374" w:rsidRPr="00855312">
        <w:rPr>
          <w:sz w:val="26"/>
          <w:szCs w:val="26"/>
        </w:rPr>
        <w:t>: Schulkultur zwischen Sozialstruktur und Schulsystem – Zur Unterschätzung der sozialen Proble</w:t>
      </w:r>
      <w:r w:rsidR="00AD5059" w:rsidRPr="00855312">
        <w:rPr>
          <w:sz w:val="26"/>
          <w:szCs w:val="26"/>
        </w:rPr>
        <w:softHyphen/>
      </w:r>
      <w:r w:rsidR="00A27374" w:rsidRPr="00855312">
        <w:rPr>
          <w:sz w:val="26"/>
          <w:szCs w:val="26"/>
        </w:rPr>
        <w:t>matik individualisierter ‚Schulkultur‘. In: Zeitschrift für Pädagogik 55</w:t>
      </w:r>
      <w:r w:rsidR="007D2AEE" w:rsidRPr="00855312">
        <w:rPr>
          <w:sz w:val="26"/>
          <w:szCs w:val="26"/>
        </w:rPr>
        <w:t>. Jg.</w:t>
      </w:r>
      <w:r w:rsidR="00A27374" w:rsidRPr="00855312">
        <w:rPr>
          <w:sz w:val="26"/>
          <w:szCs w:val="26"/>
        </w:rPr>
        <w:t>, Heft 3, 2009, S. 381</w:t>
      </w:r>
      <w:r w:rsidR="002C632A" w:rsidRPr="00855312">
        <w:rPr>
          <w:sz w:val="26"/>
          <w:szCs w:val="26"/>
        </w:rPr>
        <w:t>–</w:t>
      </w:r>
      <w:r w:rsidR="00A27374" w:rsidRPr="00855312">
        <w:rPr>
          <w:sz w:val="26"/>
          <w:szCs w:val="26"/>
        </w:rPr>
        <w:t>387.</w:t>
      </w:r>
    </w:p>
    <w:p w14:paraId="4CCAFB0B" w14:textId="77777777" w:rsidR="00221FA3" w:rsidRPr="00855312" w:rsidRDefault="008C1C1E" w:rsidP="00221FA3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221FA3" w:rsidRPr="00855312">
        <w:rPr>
          <w:sz w:val="26"/>
          <w:szCs w:val="26"/>
        </w:rPr>
        <w:t xml:space="preserve">Kulturkritik und ‚Geistesgeschichte‘ als Kanonisierung. Debatten und Konflikte in den Geistes- und Sozialwissenschaften im Kaiserreich und in der Weimarer Republik. </w:t>
      </w:r>
      <w:r w:rsidR="00AA58B7" w:rsidRPr="00855312">
        <w:rPr>
          <w:sz w:val="26"/>
          <w:szCs w:val="26"/>
        </w:rPr>
        <w:t>I</w:t>
      </w:r>
      <w:r w:rsidR="00221FA3" w:rsidRPr="00855312">
        <w:rPr>
          <w:sz w:val="26"/>
          <w:szCs w:val="26"/>
        </w:rPr>
        <w:t>n: Jutta Ecarius, Johannes Bilstein (Hrsg.): Standardisierung und Kanonisierung. Erzie</w:t>
      </w:r>
      <w:r w:rsidR="00DF2BDA" w:rsidRPr="00855312">
        <w:rPr>
          <w:sz w:val="26"/>
          <w:szCs w:val="26"/>
        </w:rPr>
        <w:softHyphen/>
      </w:r>
      <w:r w:rsidR="00221FA3" w:rsidRPr="00855312">
        <w:rPr>
          <w:sz w:val="26"/>
          <w:szCs w:val="26"/>
        </w:rPr>
        <w:t>hungswissenschaftliche Reflexionen, VS Verlag für Sozialwissenschaften, Wiesbaden 2009, S. 31</w:t>
      </w:r>
      <w:r w:rsidR="002C632A" w:rsidRPr="00855312">
        <w:rPr>
          <w:sz w:val="26"/>
          <w:szCs w:val="26"/>
        </w:rPr>
        <w:t>–</w:t>
      </w:r>
      <w:r w:rsidR="00221FA3" w:rsidRPr="00855312">
        <w:rPr>
          <w:sz w:val="26"/>
          <w:szCs w:val="26"/>
        </w:rPr>
        <w:t>52.</w:t>
      </w:r>
    </w:p>
    <w:p w14:paraId="220DA2D9" w14:textId="77777777" w:rsidR="00B4315E" w:rsidRPr="00855312" w:rsidRDefault="008C1C1E" w:rsidP="00221FA3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B4315E" w:rsidRPr="00855312">
        <w:rPr>
          <w:sz w:val="26"/>
          <w:szCs w:val="26"/>
        </w:rPr>
        <w:t>Lebenslauf im Zeichen der Bürgerlichkeit? Erziehung, Bildung und Sozialisation in Friedrich Hölderlins Leben. In: Hölderlin-Jahrbuch Bd. 36, 2008-2009, S. 9</w:t>
      </w:r>
      <w:r w:rsidR="002C632A" w:rsidRPr="00855312">
        <w:rPr>
          <w:sz w:val="26"/>
          <w:szCs w:val="26"/>
        </w:rPr>
        <w:t>–</w:t>
      </w:r>
      <w:r w:rsidR="00B4315E" w:rsidRPr="00855312">
        <w:rPr>
          <w:sz w:val="26"/>
          <w:szCs w:val="26"/>
        </w:rPr>
        <w:t>29.</w:t>
      </w:r>
    </w:p>
    <w:p w14:paraId="002D2E1C" w14:textId="77777777" w:rsidR="00C447B2" w:rsidRPr="00855312" w:rsidRDefault="008C1C1E" w:rsidP="00221FA3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C447B2" w:rsidRPr="00855312">
        <w:rPr>
          <w:sz w:val="26"/>
          <w:szCs w:val="26"/>
        </w:rPr>
        <w:t>Art. Bildung. In: Gerhard Lauer/Christine Ruhrberg (Hrsg.): Lexikon Literaturwissenschaft. Hundert Grundbegriffe, Reclam Verlag, Stuttgart 201</w:t>
      </w:r>
      <w:r w:rsidR="0019585C" w:rsidRPr="00855312">
        <w:rPr>
          <w:sz w:val="26"/>
          <w:szCs w:val="26"/>
        </w:rPr>
        <w:t>0</w:t>
      </w:r>
      <w:r w:rsidR="00C447B2" w:rsidRPr="00855312">
        <w:rPr>
          <w:sz w:val="26"/>
          <w:szCs w:val="26"/>
        </w:rPr>
        <w:t>, S. 42</w:t>
      </w:r>
      <w:r w:rsidR="002C632A" w:rsidRPr="00855312">
        <w:rPr>
          <w:sz w:val="26"/>
          <w:szCs w:val="26"/>
        </w:rPr>
        <w:t>–</w:t>
      </w:r>
      <w:r w:rsidR="00C447B2" w:rsidRPr="00855312">
        <w:rPr>
          <w:sz w:val="26"/>
          <w:szCs w:val="26"/>
        </w:rPr>
        <w:t>46.</w:t>
      </w:r>
    </w:p>
    <w:p w14:paraId="604EA264" w14:textId="77777777" w:rsidR="006B4081" w:rsidRPr="00855312" w:rsidRDefault="008C1C1E" w:rsidP="006B408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6B4081" w:rsidRPr="00855312">
        <w:rPr>
          <w:sz w:val="26"/>
          <w:szCs w:val="26"/>
        </w:rPr>
        <w:t xml:space="preserve">Art. Ästhetische Bildung. In: Marnie Schlüter/Stefan Jordan (Hrsg.): Lexikon </w:t>
      </w:r>
      <w:r w:rsidR="00FC0489" w:rsidRPr="00855312">
        <w:rPr>
          <w:sz w:val="26"/>
          <w:szCs w:val="26"/>
        </w:rPr>
        <w:t xml:space="preserve">Pädagogik. </w:t>
      </w:r>
      <w:r w:rsidR="006B4081" w:rsidRPr="00855312">
        <w:rPr>
          <w:sz w:val="26"/>
          <w:szCs w:val="26"/>
        </w:rPr>
        <w:t>Hundert Grundbegriffe, Reclam Verlag, Stuttgart 2010</w:t>
      </w:r>
      <w:r w:rsidR="00FC0489" w:rsidRPr="00855312">
        <w:rPr>
          <w:sz w:val="26"/>
          <w:szCs w:val="26"/>
        </w:rPr>
        <w:t>, S. 34</w:t>
      </w:r>
      <w:r w:rsidR="002C632A" w:rsidRPr="00855312">
        <w:rPr>
          <w:sz w:val="26"/>
          <w:szCs w:val="26"/>
        </w:rPr>
        <w:t>–</w:t>
      </w:r>
      <w:r w:rsidR="00FC0489" w:rsidRPr="00855312">
        <w:rPr>
          <w:sz w:val="26"/>
          <w:szCs w:val="26"/>
        </w:rPr>
        <w:t>36</w:t>
      </w:r>
      <w:r w:rsidR="006B4081" w:rsidRPr="00855312">
        <w:rPr>
          <w:sz w:val="26"/>
          <w:szCs w:val="26"/>
        </w:rPr>
        <w:t>.</w:t>
      </w:r>
    </w:p>
    <w:p w14:paraId="43B8B557" w14:textId="77777777" w:rsidR="006B4081" w:rsidRPr="00855312" w:rsidRDefault="008C1C1E" w:rsidP="006B408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6B4081" w:rsidRPr="00855312">
        <w:rPr>
          <w:sz w:val="26"/>
          <w:szCs w:val="26"/>
        </w:rPr>
        <w:t>Art. Pädagogische Provinz. In: Marnie Schlüter/Stefan Jordan (Hrsg.): Lexi</w:t>
      </w:r>
      <w:r w:rsidR="006B4081" w:rsidRPr="00855312">
        <w:rPr>
          <w:sz w:val="26"/>
          <w:szCs w:val="26"/>
        </w:rPr>
        <w:softHyphen/>
        <w:t xml:space="preserve">kon </w:t>
      </w:r>
      <w:r w:rsidR="00FC0489" w:rsidRPr="00855312">
        <w:rPr>
          <w:sz w:val="26"/>
          <w:szCs w:val="26"/>
        </w:rPr>
        <w:t>Pädagogik</w:t>
      </w:r>
      <w:r w:rsidR="006B4081" w:rsidRPr="00855312">
        <w:rPr>
          <w:sz w:val="26"/>
          <w:szCs w:val="26"/>
        </w:rPr>
        <w:t>. Hundert Grundbegriffe, Reclam Verlag, Stuttgart 2010</w:t>
      </w:r>
      <w:r w:rsidR="00FC0489" w:rsidRPr="00855312">
        <w:rPr>
          <w:sz w:val="26"/>
          <w:szCs w:val="26"/>
        </w:rPr>
        <w:t>, S. 223</w:t>
      </w:r>
      <w:r w:rsidR="002C632A" w:rsidRPr="00855312">
        <w:rPr>
          <w:sz w:val="26"/>
          <w:szCs w:val="26"/>
        </w:rPr>
        <w:t>–</w:t>
      </w:r>
      <w:r w:rsidR="00FC0489" w:rsidRPr="00855312">
        <w:rPr>
          <w:sz w:val="26"/>
          <w:szCs w:val="26"/>
        </w:rPr>
        <w:t>225</w:t>
      </w:r>
      <w:r w:rsidR="006B4081" w:rsidRPr="00855312">
        <w:rPr>
          <w:sz w:val="26"/>
          <w:szCs w:val="26"/>
        </w:rPr>
        <w:t>.</w:t>
      </w:r>
    </w:p>
    <w:p w14:paraId="201198C2" w14:textId="77777777" w:rsidR="0085553C" w:rsidRPr="00855312" w:rsidRDefault="008C1C1E" w:rsidP="00F5601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85553C" w:rsidRPr="00855312">
        <w:rPr>
          <w:sz w:val="26"/>
          <w:szCs w:val="26"/>
        </w:rPr>
        <w:t>Bildung, Beruf und Wissenschaft: Erika Schwartzkopff, verh. Wolters. In: Ulrich Raulff, Ute Oelmann (Hrsg.): Frauen im George-Kreis, Wallstein Verlag, Göttingen 2010, S. 173</w:t>
      </w:r>
      <w:r w:rsidR="002C632A" w:rsidRPr="00855312">
        <w:rPr>
          <w:sz w:val="26"/>
          <w:szCs w:val="26"/>
        </w:rPr>
        <w:t>–</w:t>
      </w:r>
      <w:r w:rsidR="0085553C" w:rsidRPr="00855312">
        <w:rPr>
          <w:sz w:val="26"/>
          <w:szCs w:val="26"/>
        </w:rPr>
        <w:t>193.</w:t>
      </w:r>
    </w:p>
    <w:p w14:paraId="5E1E0F42" w14:textId="77777777" w:rsidR="00F5601C" w:rsidRPr="00855312" w:rsidRDefault="008C1C1E" w:rsidP="00F5601C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F5601C" w:rsidRPr="00855312">
        <w:rPr>
          <w:sz w:val="26"/>
          <w:szCs w:val="26"/>
        </w:rPr>
        <w:t>Universität, Generationenverhältnisse und Generationenkonflikte um „68“. Vom Wandel der Institution und der Radikalisierung politischer Aktivität</w:t>
      </w:r>
      <w:r w:rsidR="004C00E5" w:rsidRPr="00855312">
        <w:rPr>
          <w:sz w:val="26"/>
          <w:szCs w:val="26"/>
        </w:rPr>
        <w:t>. I</w:t>
      </w:r>
      <w:r w:rsidR="00F5601C" w:rsidRPr="00855312">
        <w:rPr>
          <w:sz w:val="26"/>
          <w:szCs w:val="26"/>
        </w:rPr>
        <w:t>n: Meike Sophia Baader, Ulrich Herrmann (Hrsg.): 68 – Engagierte Jugend und Kritische Pädagogik. Impulse und Folgen eines kulturellen Umbruchs in der Geschichte der Bundesrepublik. Juventa Verlag, Weinheim, München 2011, S. 129</w:t>
      </w:r>
      <w:r w:rsidR="002C632A" w:rsidRPr="00855312">
        <w:rPr>
          <w:sz w:val="26"/>
          <w:szCs w:val="26"/>
        </w:rPr>
        <w:t>–</w:t>
      </w:r>
      <w:r w:rsidR="00F5601C" w:rsidRPr="00855312">
        <w:rPr>
          <w:sz w:val="26"/>
          <w:szCs w:val="26"/>
        </w:rPr>
        <w:t>147.</w:t>
      </w:r>
    </w:p>
    <w:p w14:paraId="423C4D70" w14:textId="77777777" w:rsidR="00CC08DC" w:rsidRPr="00855312" w:rsidRDefault="008C1C1E" w:rsidP="001E101D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1E101D" w:rsidRPr="00855312">
        <w:rPr>
          <w:sz w:val="26"/>
          <w:szCs w:val="26"/>
        </w:rPr>
        <w:t>Bildung durch Wissenschaft: Aspekte und Funktionen eines traditionellen Deutungsmusters der deutschen Universität im historischen Wandel. In: Bildung und Erziehung, 65. Jg. 2012, Heft 2, S. 169</w:t>
      </w:r>
      <w:r w:rsidR="002C632A" w:rsidRPr="00855312">
        <w:rPr>
          <w:sz w:val="26"/>
          <w:szCs w:val="26"/>
        </w:rPr>
        <w:t>–</w:t>
      </w:r>
      <w:r w:rsidR="001E101D" w:rsidRPr="00855312">
        <w:rPr>
          <w:sz w:val="26"/>
          <w:szCs w:val="26"/>
        </w:rPr>
        <w:t>181.</w:t>
      </w:r>
    </w:p>
    <w:p w14:paraId="1E73A233" w14:textId="77777777" w:rsidR="00AC4ADD" w:rsidRPr="00855312" w:rsidRDefault="00AC4ADD" w:rsidP="001E101D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  <w:lang w:val="en-GB"/>
        </w:rPr>
      </w:pPr>
      <w:r w:rsidRPr="00855312">
        <w:rPr>
          <w:sz w:val="26"/>
          <w:szCs w:val="26"/>
          <w:lang w:val="en-GB"/>
        </w:rPr>
        <w:t xml:space="preserve"> </w:t>
      </w:r>
      <w:r w:rsidR="00E72535" w:rsidRPr="00855312">
        <w:rPr>
          <w:sz w:val="26"/>
          <w:szCs w:val="26"/>
          <w:lang w:val="en-GB"/>
        </w:rPr>
        <w:t xml:space="preserve">History of Education in Germany. Historic Development – Results – Raison d’ etre. </w:t>
      </w:r>
      <w:r w:rsidRPr="00855312">
        <w:rPr>
          <w:sz w:val="26"/>
          <w:szCs w:val="26"/>
          <w:lang w:val="en-GB"/>
        </w:rPr>
        <w:t xml:space="preserve">In: Jesper Eckhardt Larsen (Hrsg.): </w:t>
      </w:r>
      <w:r w:rsidR="00561E0B" w:rsidRPr="00855312">
        <w:rPr>
          <w:sz w:val="26"/>
          <w:szCs w:val="26"/>
          <w:lang w:val="en-GB"/>
        </w:rPr>
        <w:t xml:space="preserve">Knowledge, Politics and the History of Education. </w:t>
      </w:r>
      <w:r w:rsidRPr="00855312">
        <w:rPr>
          <w:sz w:val="26"/>
          <w:szCs w:val="26"/>
          <w:lang w:val="en-GB"/>
        </w:rPr>
        <w:t>Münster/Berlin</w:t>
      </w:r>
      <w:r w:rsidR="00E72535" w:rsidRPr="00855312">
        <w:rPr>
          <w:sz w:val="26"/>
          <w:szCs w:val="26"/>
          <w:lang w:val="en-GB"/>
        </w:rPr>
        <w:t>,</w:t>
      </w:r>
      <w:r w:rsidRPr="00855312">
        <w:rPr>
          <w:sz w:val="26"/>
          <w:szCs w:val="26"/>
          <w:lang w:val="en-GB"/>
        </w:rPr>
        <w:t xml:space="preserve"> LIT Verlag 2012, S. 179</w:t>
      </w:r>
      <w:r w:rsidR="0006360B" w:rsidRPr="00855312">
        <w:rPr>
          <w:sz w:val="26"/>
          <w:szCs w:val="26"/>
        </w:rPr>
        <w:t>–</w:t>
      </w:r>
      <w:r w:rsidRPr="00855312">
        <w:rPr>
          <w:sz w:val="26"/>
          <w:szCs w:val="26"/>
          <w:lang w:val="en-GB"/>
        </w:rPr>
        <w:t xml:space="preserve">193. </w:t>
      </w:r>
    </w:p>
    <w:p w14:paraId="55223034" w14:textId="77777777" w:rsidR="00F6304D" w:rsidRPr="00855312" w:rsidRDefault="008C1C1E" w:rsidP="00A32756">
      <w:pPr>
        <w:pStyle w:val="Textkrper"/>
        <w:numPr>
          <w:ilvl w:val="0"/>
          <w:numId w:val="22"/>
        </w:numPr>
        <w:spacing w:after="20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F6304D" w:rsidRPr="00855312">
        <w:rPr>
          <w:sz w:val="26"/>
          <w:szCs w:val="26"/>
        </w:rPr>
        <w:t>„Die Hauptsache ist daß Sie kommen …“. Preußische Hochschulpolitik unter Carl Heinrich Becker in der Weimarer Republik. In: Hoffmann-Ocon, Andreas, Grunder, Hans-Ulrich (Hrsg.)</w:t>
      </w:r>
      <w:r w:rsidR="003E1D6F" w:rsidRPr="00855312">
        <w:rPr>
          <w:sz w:val="26"/>
          <w:szCs w:val="26"/>
        </w:rPr>
        <w:t>:</w:t>
      </w:r>
      <w:r w:rsidR="00F6304D" w:rsidRPr="00855312">
        <w:rPr>
          <w:sz w:val="26"/>
          <w:szCs w:val="26"/>
        </w:rPr>
        <w:t xml:space="preserve"> Netzwerke in bildungshistorischer Perspektive. Verlag Julius Klinkhardt, Bad Heilbrunn 2013, S. 94</w:t>
      </w:r>
      <w:r w:rsidR="002C632A" w:rsidRPr="00855312">
        <w:rPr>
          <w:sz w:val="26"/>
          <w:szCs w:val="26"/>
        </w:rPr>
        <w:t>–</w:t>
      </w:r>
      <w:r w:rsidR="00F6304D" w:rsidRPr="00855312">
        <w:rPr>
          <w:sz w:val="26"/>
          <w:szCs w:val="26"/>
        </w:rPr>
        <w:t>101.</w:t>
      </w:r>
    </w:p>
    <w:p w14:paraId="1BA02524" w14:textId="77777777" w:rsidR="003E1D6F" w:rsidRPr="00855312" w:rsidRDefault="008C1C1E" w:rsidP="00A32756">
      <w:pPr>
        <w:pStyle w:val="Textkrper"/>
        <w:numPr>
          <w:ilvl w:val="0"/>
          <w:numId w:val="22"/>
        </w:numPr>
        <w:spacing w:after="20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3E1D6F" w:rsidRPr="00855312">
        <w:rPr>
          <w:sz w:val="26"/>
          <w:szCs w:val="26"/>
        </w:rPr>
        <w:t>Erziehungsräume. In: Arnd-Michael Nohl, Christoph Wulf (Hrsg.): Mensch und Ding. Die Materialität pädagogischer Prozesse. Sonderheft der Zeitschrift für Erziehungswissenschaft 2013, S. 59</w:t>
      </w:r>
      <w:r w:rsidR="002C632A" w:rsidRPr="00855312">
        <w:rPr>
          <w:sz w:val="26"/>
          <w:szCs w:val="26"/>
        </w:rPr>
        <w:t>–</w:t>
      </w:r>
      <w:r w:rsidR="003E1D6F" w:rsidRPr="00855312">
        <w:rPr>
          <w:sz w:val="26"/>
          <w:szCs w:val="26"/>
        </w:rPr>
        <w:t>74.</w:t>
      </w:r>
    </w:p>
    <w:p w14:paraId="69BD9F48" w14:textId="77777777" w:rsidR="00F6304D" w:rsidRPr="00855312" w:rsidRDefault="008C1C1E" w:rsidP="00292635">
      <w:pPr>
        <w:pStyle w:val="Textkrper"/>
        <w:numPr>
          <w:ilvl w:val="0"/>
          <w:numId w:val="22"/>
        </w:numPr>
        <w:spacing w:after="20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F20DC5" w:rsidRPr="00855312">
        <w:rPr>
          <w:sz w:val="26"/>
          <w:szCs w:val="26"/>
        </w:rPr>
        <w:t>‚Doing Family‘. Familie als Herstellungsleistung zwischen dem 18. und 20. Jahrhundert. In: Brakmann, Thomas, Joergens, Bettina (Hrsg.): Familie? Blutsverwandtschaft, Hausgemeinschaft und Genealogie. Beiträge zum 8. Detmolder Sommergespräch. Essen, Klartext Verlag 2014, S. 23</w:t>
      </w:r>
      <w:r w:rsidR="002C632A" w:rsidRPr="00855312">
        <w:rPr>
          <w:sz w:val="26"/>
          <w:szCs w:val="26"/>
        </w:rPr>
        <w:t>–</w:t>
      </w:r>
      <w:r w:rsidR="00F20DC5" w:rsidRPr="00855312">
        <w:rPr>
          <w:sz w:val="26"/>
          <w:szCs w:val="26"/>
        </w:rPr>
        <w:t>39.</w:t>
      </w:r>
    </w:p>
    <w:p w14:paraId="2A9478C1" w14:textId="77777777" w:rsidR="00A32756" w:rsidRPr="00855312" w:rsidRDefault="008C1C1E" w:rsidP="00292635">
      <w:pPr>
        <w:pStyle w:val="Textkrper"/>
        <w:numPr>
          <w:ilvl w:val="0"/>
          <w:numId w:val="22"/>
        </w:numPr>
        <w:spacing w:after="20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A32756" w:rsidRPr="00855312">
        <w:rPr>
          <w:sz w:val="26"/>
          <w:szCs w:val="26"/>
        </w:rPr>
        <w:t xml:space="preserve">Bildungssystem und Bildungspolitik – Von Karl Marx zur Gegenwart. In: Nachrichtenblatt. Verein der Ehemaligen des Friedrich-Wilhelm-Gymnasiums in Trier ev., Ausgabe 117, </w:t>
      </w:r>
      <w:r w:rsidR="00D16F37" w:rsidRPr="00855312">
        <w:rPr>
          <w:sz w:val="26"/>
          <w:szCs w:val="26"/>
        </w:rPr>
        <w:t>M</w:t>
      </w:r>
      <w:r w:rsidR="00A32756" w:rsidRPr="00855312">
        <w:rPr>
          <w:sz w:val="26"/>
          <w:szCs w:val="26"/>
        </w:rPr>
        <w:t>ai 2014, S. 25</w:t>
      </w:r>
      <w:r w:rsidR="002C632A" w:rsidRPr="00855312">
        <w:rPr>
          <w:sz w:val="26"/>
          <w:szCs w:val="26"/>
        </w:rPr>
        <w:t>–</w:t>
      </w:r>
      <w:r w:rsidR="00A32756" w:rsidRPr="00855312">
        <w:rPr>
          <w:sz w:val="26"/>
          <w:szCs w:val="26"/>
        </w:rPr>
        <w:t>29.</w:t>
      </w:r>
    </w:p>
    <w:p w14:paraId="1CE957A9" w14:textId="77777777" w:rsidR="004F1A01" w:rsidRPr="00855312" w:rsidRDefault="008C1C1E" w:rsidP="004F1A01">
      <w:pPr>
        <w:pStyle w:val="Textkrper"/>
        <w:numPr>
          <w:ilvl w:val="0"/>
          <w:numId w:val="22"/>
        </w:numPr>
        <w:spacing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4F1A01" w:rsidRPr="00855312">
        <w:rPr>
          <w:sz w:val="26"/>
          <w:szCs w:val="26"/>
        </w:rPr>
        <w:t>Die Familie: eine historische Betrachtung von der Neuzeit bis ins 20. Jahrhundert. In: Michèle Hofmann, Lucas Boser, Anna Bütikofer, Evelyne Wannack (Hrsg.): Lehrbuch Pädagogik. Eine Einführung in grundlegende Themenfelder. Hep Verlag Bern 2015, S. 82</w:t>
      </w:r>
      <w:r w:rsidR="000A44F0" w:rsidRPr="00855312">
        <w:rPr>
          <w:sz w:val="26"/>
          <w:szCs w:val="26"/>
        </w:rPr>
        <w:t>–</w:t>
      </w:r>
      <w:r w:rsidR="004F1A01" w:rsidRPr="00855312">
        <w:rPr>
          <w:sz w:val="26"/>
          <w:szCs w:val="26"/>
        </w:rPr>
        <w:t xml:space="preserve">100. </w:t>
      </w:r>
    </w:p>
    <w:p w14:paraId="3ED4B62D" w14:textId="77777777" w:rsidR="004F1A01" w:rsidRPr="00855312" w:rsidRDefault="004F1A01" w:rsidP="004F1A01">
      <w:pPr>
        <w:pStyle w:val="Textkrper"/>
        <w:spacing w:after="240" w:line="284" w:lineRule="exact"/>
        <w:ind w:left="284"/>
        <w:rPr>
          <w:sz w:val="26"/>
          <w:szCs w:val="26"/>
        </w:rPr>
      </w:pPr>
      <w:r w:rsidRPr="00855312">
        <w:rPr>
          <w:sz w:val="26"/>
          <w:szCs w:val="26"/>
        </w:rPr>
        <w:t xml:space="preserve">(Lehrbuch für das Fach Pädagogik/Psychologie an der Sekundarstufe II der Schweiz (Gymnasium, Berufsmaturitätsschule und Fachmittelschule) </w:t>
      </w:r>
    </w:p>
    <w:p w14:paraId="015DB6A4" w14:textId="77777777" w:rsidR="004F1A01" w:rsidRPr="00855312" w:rsidRDefault="008C1C1E" w:rsidP="004F1A01">
      <w:pPr>
        <w:pStyle w:val="Textkrper"/>
        <w:numPr>
          <w:ilvl w:val="0"/>
          <w:numId w:val="22"/>
        </w:numPr>
        <w:spacing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4F1A01" w:rsidRPr="00855312">
        <w:rPr>
          <w:sz w:val="26"/>
          <w:szCs w:val="26"/>
        </w:rPr>
        <w:t>Die Familie: Fokus Forschung. In: Michèle Hofmann, Lucas Boser, Anna Bütikofer, Evelyne Wannack (Hrsg.): Lehrbuch Pädagogik. Eine Einführung in grundlegende Themenfelder. Hep Verlag Bern 2015, S. 100</w:t>
      </w:r>
      <w:r w:rsidR="000A44F0" w:rsidRPr="00855312">
        <w:rPr>
          <w:sz w:val="26"/>
          <w:szCs w:val="26"/>
        </w:rPr>
        <w:t>–</w:t>
      </w:r>
      <w:r w:rsidR="004F1A01" w:rsidRPr="00855312">
        <w:rPr>
          <w:sz w:val="26"/>
          <w:szCs w:val="26"/>
        </w:rPr>
        <w:t>112.</w:t>
      </w:r>
    </w:p>
    <w:p w14:paraId="03346056" w14:textId="77777777" w:rsidR="004F1A01" w:rsidRPr="00855312" w:rsidRDefault="004F1A01" w:rsidP="007021DF">
      <w:pPr>
        <w:pStyle w:val="Textkrper"/>
        <w:spacing w:after="240" w:line="284" w:lineRule="exact"/>
        <w:ind w:left="284"/>
        <w:rPr>
          <w:sz w:val="26"/>
          <w:szCs w:val="26"/>
        </w:rPr>
      </w:pPr>
      <w:r w:rsidRPr="00855312">
        <w:rPr>
          <w:sz w:val="26"/>
          <w:szCs w:val="26"/>
        </w:rPr>
        <w:t xml:space="preserve">(Lehrbuch für das Fach Pädagogik/Psychologie an der Sekundarstufe II der Schweiz (Gymnasium, Berufsmaturitätsschule und Fachmittelschule) </w:t>
      </w:r>
    </w:p>
    <w:p w14:paraId="0B6083E9" w14:textId="77777777" w:rsidR="00B15C20" w:rsidRPr="00855312" w:rsidRDefault="008C1C1E" w:rsidP="005107B5">
      <w:pPr>
        <w:pStyle w:val="Textkrper"/>
        <w:numPr>
          <w:ilvl w:val="0"/>
          <w:numId w:val="22"/>
        </w:numPr>
        <w:spacing w:after="12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B15C20" w:rsidRPr="00855312">
        <w:rPr>
          <w:sz w:val="26"/>
          <w:szCs w:val="26"/>
        </w:rPr>
        <w:t>gem. mit Gerhard Kluchert und Eva Matthes: Bildung und Differenz in historischer Perspektive. Facetten des Themas, Stand der Forschung, Trends und Ausblicke. In: Carola Groppe, Gerhard Kluchert, Eva Mathes (Hrsg.): Bildung und Differenz. Historische Analysen zu einem aktuellen Problem. Springer VS, Wiesbaden 2015, S. 1</w:t>
      </w:r>
      <w:r w:rsidR="000A44F0" w:rsidRPr="00855312">
        <w:rPr>
          <w:sz w:val="26"/>
          <w:szCs w:val="26"/>
        </w:rPr>
        <w:t>–</w:t>
      </w:r>
      <w:r w:rsidR="00B15C20" w:rsidRPr="00855312">
        <w:rPr>
          <w:sz w:val="26"/>
          <w:szCs w:val="26"/>
        </w:rPr>
        <w:t>17.</w:t>
      </w:r>
    </w:p>
    <w:p w14:paraId="10B13742" w14:textId="77777777" w:rsidR="00515CE0" w:rsidRPr="00855312" w:rsidRDefault="008C1C1E" w:rsidP="005107B5">
      <w:pPr>
        <w:pStyle w:val="Textkrper"/>
        <w:numPr>
          <w:ilvl w:val="0"/>
          <w:numId w:val="22"/>
        </w:numPr>
        <w:spacing w:after="12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515CE0" w:rsidRPr="00855312">
        <w:rPr>
          <w:sz w:val="26"/>
          <w:szCs w:val="26"/>
        </w:rPr>
        <w:t xml:space="preserve">Bildung, </w:t>
      </w:r>
      <w:r w:rsidR="00515CE0" w:rsidRPr="00855312">
        <w:rPr>
          <w:sz w:val="26"/>
          <w:szCs w:val="26"/>
          <w:shd w:val="clear" w:color="auto" w:fill="FFFFFF"/>
        </w:rPr>
        <w:t>Bürgerlichkeit</w:t>
      </w:r>
      <w:r w:rsidR="00515CE0" w:rsidRPr="00855312">
        <w:rPr>
          <w:sz w:val="26"/>
          <w:szCs w:val="26"/>
        </w:rPr>
        <w:t>, Kunst. Habitusformationen und soziale Distinktion in der Klassischen Moderne. In: Markus Schlette, Deuser, H., Kleinert, M. (Hrsg.): Metamorphosen des Heiligen. Struktur und Dynamik von Sakralisierung am Beispiel der Kunstreligion. Mohr Siebeck, Tübingen 2015, S. 269</w:t>
      </w:r>
      <w:r w:rsidR="000A44F0" w:rsidRPr="00855312">
        <w:rPr>
          <w:sz w:val="26"/>
          <w:szCs w:val="26"/>
        </w:rPr>
        <w:t>–</w:t>
      </w:r>
      <w:r w:rsidR="00515CE0" w:rsidRPr="00855312">
        <w:rPr>
          <w:sz w:val="26"/>
          <w:szCs w:val="26"/>
        </w:rPr>
        <w:t>290.</w:t>
      </w:r>
    </w:p>
    <w:p w14:paraId="79A18D40" w14:textId="77777777" w:rsidR="005107B5" w:rsidRPr="00855312" w:rsidRDefault="008C1C1E" w:rsidP="005107B5">
      <w:pPr>
        <w:numPr>
          <w:ilvl w:val="0"/>
          <w:numId w:val="22"/>
        </w:numPr>
        <w:spacing w:after="240"/>
        <w:ind w:left="284" w:hanging="284"/>
        <w:jc w:val="both"/>
        <w:rPr>
          <w:rFonts w:ascii="Garamond" w:hAnsi="Garamond"/>
          <w:sz w:val="26"/>
          <w:szCs w:val="26"/>
        </w:rPr>
      </w:pPr>
      <w:r w:rsidRPr="00855312">
        <w:rPr>
          <w:rFonts w:ascii="Garamond" w:hAnsi="Garamond"/>
          <w:sz w:val="26"/>
          <w:szCs w:val="26"/>
        </w:rPr>
        <w:t xml:space="preserve"> </w:t>
      </w:r>
      <w:r w:rsidR="005107B5" w:rsidRPr="00855312">
        <w:rPr>
          <w:rFonts w:ascii="Garamond" w:hAnsi="Garamond"/>
          <w:sz w:val="26"/>
          <w:szCs w:val="26"/>
        </w:rPr>
        <w:t xml:space="preserve">Die deutsche Universität als pädagogische Institution. Analysen zu ihrer historischen, aktuellen und zukünftigen Entwicklung. In: </w:t>
      </w:r>
      <w:r w:rsidR="00823DA5" w:rsidRPr="00855312">
        <w:rPr>
          <w:rFonts w:ascii="Garamond" w:hAnsi="Garamond"/>
          <w:sz w:val="26"/>
          <w:szCs w:val="26"/>
        </w:rPr>
        <w:t xml:space="preserve">Sigrid Blömeke, Marcelo Caruso et al. </w:t>
      </w:r>
      <w:r w:rsidR="005107B5" w:rsidRPr="00855312">
        <w:rPr>
          <w:rFonts w:ascii="Garamond" w:hAnsi="Garamond"/>
          <w:sz w:val="26"/>
          <w:szCs w:val="26"/>
        </w:rPr>
        <w:t xml:space="preserve">(Hrsg.): Tradition und Zukünfte. </w:t>
      </w:r>
      <w:r w:rsidR="00823DA5" w:rsidRPr="00855312">
        <w:rPr>
          <w:rFonts w:ascii="Garamond" w:hAnsi="Garamond"/>
          <w:sz w:val="26"/>
          <w:szCs w:val="26"/>
        </w:rPr>
        <w:t>Beiträge zum 24. Kongress der Deutschen Gesellschaft für</w:t>
      </w:r>
      <w:r w:rsidR="00077FB7" w:rsidRPr="00855312">
        <w:rPr>
          <w:rFonts w:ascii="Garamond" w:hAnsi="Garamond"/>
          <w:sz w:val="26"/>
          <w:szCs w:val="26"/>
        </w:rPr>
        <w:t xml:space="preserve"> Erziehungswissenschaft. Verlag Barbara Budrich, Opladen und Toronto 2016</w:t>
      </w:r>
      <w:r w:rsidR="005107B5" w:rsidRPr="00855312">
        <w:rPr>
          <w:rFonts w:ascii="Garamond" w:hAnsi="Garamond"/>
          <w:sz w:val="26"/>
          <w:szCs w:val="26"/>
        </w:rPr>
        <w:t>,</w:t>
      </w:r>
      <w:r w:rsidR="009C0482" w:rsidRPr="00855312">
        <w:rPr>
          <w:rFonts w:ascii="Garamond" w:hAnsi="Garamond"/>
          <w:sz w:val="26"/>
          <w:szCs w:val="26"/>
        </w:rPr>
        <w:t xml:space="preserve"> S. 57-76</w:t>
      </w:r>
      <w:r w:rsidR="005107B5" w:rsidRPr="00855312">
        <w:rPr>
          <w:rFonts w:ascii="Garamond" w:hAnsi="Garamond"/>
          <w:sz w:val="26"/>
          <w:szCs w:val="26"/>
        </w:rPr>
        <w:t>.</w:t>
      </w:r>
    </w:p>
    <w:p w14:paraId="45B4D2C6" w14:textId="77777777" w:rsidR="00645D06" w:rsidRPr="00855312" w:rsidRDefault="008C1C1E" w:rsidP="00645D06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b/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645D06" w:rsidRPr="00855312">
        <w:rPr>
          <w:sz w:val="26"/>
          <w:szCs w:val="26"/>
        </w:rPr>
        <w:t xml:space="preserve">Reformpädagogik und soziale Ungleichheit. In: Wolfgang Keim, </w:t>
      </w:r>
      <w:r w:rsidR="002F6C79" w:rsidRPr="00855312">
        <w:rPr>
          <w:sz w:val="26"/>
          <w:szCs w:val="26"/>
        </w:rPr>
        <w:t xml:space="preserve">Ulrich Schwerdt, </w:t>
      </w:r>
      <w:r w:rsidR="00645D06" w:rsidRPr="00855312">
        <w:rPr>
          <w:sz w:val="26"/>
          <w:szCs w:val="26"/>
        </w:rPr>
        <w:t>Sabine Reh (Hrsg.): Reformpädagogik und Reformpädagogik-Rezeption in neuer Sicht. Klinkhardt Verlag, Bad Heilbrunn 2016, S. 73</w:t>
      </w:r>
      <w:r w:rsidR="000A44F0" w:rsidRPr="00855312">
        <w:rPr>
          <w:sz w:val="26"/>
          <w:szCs w:val="26"/>
        </w:rPr>
        <w:t>–</w:t>
      </w:r>
      <w:r w:rsidR="00645D06" w:rsidRPr="00855312">
        <w:rPr>
          <w:sz w:val="26"/>
          <w:szCs w:val="26"/>
        </w:rPr>
        <w:t>95.</w:t>
      </w:r>
    </w:p>
    <w:p w14:paraId="4506DFF4" w14:textId="77777777" w:rsidR="009F5476" w:rsidRPr="00855312" w:rsidRDefault="008C1C1E" w:rsidP="00645D06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b/>
          <w:sz w:val="26"/>
          <w:szCs w:val="26"/>
        </w:rPr>
      </w:pPr>
      <w:r w:rsidRPr="00855312">
        <w:rPr>
          <w:sz w:val="26"/>
          <w:szCs w:val="26"/>
          <w:lang w:val="en-US"/>
        </w:rPr>
        <w:t xml:space="preserve"> </w:t>
      </w:r>
      <w:r w:rsidR="009F5476" w:rsidRPr="00855312">
        <w:rPr>
          <w:sz w:val="26"/>
          <w:szCs w:val="26"/>
          <w:lang w:val="en-US"/>
        </w:rPr>
        <w:t xml:space="preserve">The German University as an Educational Institution. Analyses of its Historical, Current, and Future Development. In: Kraus, Anja (Hrsg.): Scenarios of Knowledge at Universities in Change. Perspectives of the Humanities, the Educational and the Cultural Sciences. </w:t>
      </w:r>
      <w:r w:rsidR="009F5476" w:rsidRPr="00855312">
        <w:rPr>
          <w:sz w:val="26"/>
          <w:szCs w:val="26"/>
        </w:rPr>
        <w:t>Münster, New York 2017, S. 25</w:t>
      </w:r>
      <w:r w:rsidR="000A44F0" w:rsidRPr="00855312">
        <w:rPr>
          <w:sz w:val="26"/>
          <w:szCs w:val="26"/>
        </w:rPr>
        <w:t>–</w:t>
      </w:r>
      <w:r w:rsidR="009F5476" w:rsidRPr="00855312">
        <w:rPr>
          <w:sz w:val="26"/>
          <w:szCs w:val="26"/>
        </w:rPr>
        <w:t>47 (</w:t>
      </w:r>
      <w:r w:rsidR="009F5476" w:rsidRPr="00855312">
        <w:rPr>
          <w:i/>
          <w:sz w:val="26"/>
          <w:szCs w:val="26"/>
        </w:rPr>
        <w:t>erweiterte englische Fassung von</w:t>
      </w:r>
      <w:r w:rsidR="009F5476" w:rsidRPr="00855312">
        <w:rPr>
          <w:sz w:val="26"/>
          <w:szCs w:val="26"/>
        </w:rPr>
        <w:t>: Carola Groppe, Die deutsche Universität als pädagogische Institution. Analysen zu ihrer historischen, aktuellen und zukünftigen Entwicklung, 2015).</w:t>
      </w:r>
    </w:p>
    <w:p w14:paraId="33CA6E4E" w14:textId="77777777" w:rsidR="0018467B" w:rsidRPr="00855312" w:rsidRDefault="008C1C1E" w:rsidP="00645D06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b/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18467B" w:rsidRPr="00855312">
        <w:rPr>
          <w:sz w:val="26"/>
          <w:szCs w:val="26"/>
        </w:rPr>
        <w:t>Die preußischen Reformer. Konzept und Fragestellungen einer kollektivbiographischen Analyse. In: BIOS. Zeitschrift für Biographieforschung, Oral History und Lebensverlaufsanalysen, Jg. 29, 2016</w:t>
      </w:r>
      <w:r w:rsidR="00C209EA" w:rsidRPr="00855312">
        <w:rPr>
          <w:sz w:val="26"/>
          <w:szCs w:val="26"/>
        </w:rPr>
        <w:t xml:space="preserve"> [ersch. 2018]</w:t>
      </w:r>
      <w:r w:rsidR="0018467B" w:rsidRPr="00855312">
        <w:rPr>
          <w:sz w:val="26"/>
          <w:szCs w:val="26"/>
        </w:rPr>
        <w:t>, Heft 2, S. 192</w:t>
      </w:r>
      <w:r w:rsidR="00801D06" w:rsidRPr="00855312">
        <w:rPr>
          <w:rFonts w:ascii="Times New Roman" w:hAnsi="Times New Roman"/>
          <w:szCs w:val="24"/>
        </w:rPr>
        <w:t>–</w:t>
      </w:r>
      <w:r w:rsidR="0018467B" w:rsidRPr="00855312">
        <w:rPr>
          <w:sz w:val="26"/>
          <w:szCs w:val="26"/>
        </w:rPr>
        <w:t>207.</w:t>
      </w:r>
    </w:p>
    <w:p w14:paraId="77F677EE" w14:textId="77777777" w:rsidR="002E7496" w:rsidRPr="00855312" w:rsidRDefault="008C1C1E" w:rsidP="002E7496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  <w:shd w:val="clear" w:color="auto" w:fill="FFFFFF"/>
        </w:rPr>
        <w:t xml:space="preserve"> </w:t>
      </w:r>
      <w:r w:rsidR="002E7496" w:rsidRPr="00855312">
        <w:rPr>
          <w:sz w:val="26"/>
          <w:szCs w:val="26"/>
          <w:shd w:val="clear" w:color="auto" w:fill="FFFFFF"/>
        </w:rPr>
        <w:t xml:space="preserve">Morvarid Dehnavi, Julia Kurig, Andrea Wienhaus, Carola Groppe: Gedächtnispolitik in den </w:t>
      </w:r>
      <w:r w:rsidR="002E7496" w:rsidRPr="00855312">
        <w:rPr>
          <w:sz w:val="26"/>
          <w:szCs w:val="26"/>
        </w:rPr>
        <w:t>Geisteswissenschaften</w:t>
      </w:r>
      <w:r w:rsidR="002E7496" w:rsidRPr="00855312">
        <w:rPr>
          <w:sz w:val="26"/>
          <w:szCs w:val="26"/>
          <w:shd w:val="clear" w:color="auto" w:fill="FFFFFF"/>
        </w:rPr>
        <w:t>. Wissenspfade und Wissenskonflikte am Beispiel der Geschichtswissenschaft, Erziehungswissenschaft und Germanistik in den 1960er und 1970er Jahren. In: Karin Amos, Markus Rieger-Ladich, Anne Rohstock (Hrsg.): Erinnern, Umschreiben, Vergessen. Die Stiftung des disziplinären Gedächtnisses als soziale Praxis. Weilerswist, Velbrück 2019, S. 210</w:t>
      </w:r>
      <w:r w:rsidR="00B71124" w:rsidRPr="00855312">
        <w:rPr>
          <w:sz w:val="26"/>
          <w:szCs w:val="26"/>
        </w:rPr>
        <w:t>–</w:t>
      </w:r>
      <w:r w:rsidR="002E7496" w:rsidRPr="00855312">
        <w:rPr>
          <w:sz w:val="26"/>
          <w:szCs w:val="26"/>
          <w:shd w:val="clear" w:color="auto" w:fill="FFFFFF"/>
        </w:rPr>
        <w:t>234.</w:t>
      </w:r>
    </w:p>
    <w:p w14:paraId="4563DE3F" w14:textId="77777777" w:rsidR="00D91B0A" w:rsidRPr="00855312" w:rsidRDefault="00D91B0A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b/>
          <w:sz w:val="26"/>
          <w:szCs w:val="26"/>
        </w:rPr>
        <w:t xml:space="preserve"> </w:t>
      </w:r>
      <w:r w:rsidRPr="00855312">
        <w:rPr>
          <w:sz w:val="26"/>
          <w:szCs w:val="26"/>
          <w:shd w:val="clear" w:color="auto" w:fill="FFFFFF"/>
        </w:rPr>
        <w:t>Freundschaften</w:t>
      </w:r>
      <w:r w:rsidRPr="00855312">
        <w:rPr>
          <w:sz w:val="26"/>
          <w:szCs w:val="26"/>
        </w:rPr>
        <w:t xml:space="preserve"> mit Auftrag und Gefährdung: Im George-Kreis. In: Andree Michaelis-König</w:t>
      </w:r>
      <w:r w:rsidR="00801D06" w:rsidRPr="00855312">
        <w:rPr>
          <w:sz w:val="26"/>
          <w:szCs w:val="26"/>
        </w:rPr>
        <w:t>/E</w:t>
      </w:r>
      <w:r w:rsidRPr="00855312">
        <w:rPr>
          <w:sz w:val="26"/>
          <w:szCs w:val="26"/>
        </w:rPr>
        <w:t>rik Schilling (Hrsg.): Poetik und Praxis der Freundschaft (1800–1933). Heidelberg: Winter 2019, S. 18</w:t>
      </w:r>
      <w:r w:rsidR="008617AA" w:rsidRPr="00855312">
        <w:rPr>
          <w:sz w:val="26"/>
          <w:szCs w:val="26"/>
        </w:rPr>
        <w:t>3</w:t>
      </w:r>
      <w:r w:rsidRPr="00855312">
        <w:rPr>
          <w:sz w:val="26"/>
          <w:szCs w:val="26"/>
        </w:rPr>
        <w:t>–20</w:t>
      </w:r>
      <w:r w:rsidR="008617AA" w:rsidRPr="00855312">
        <w:rPr>
          <w:sz w:val="26"/>
          <w:szCs w:val="26"/>
        </w:rPr>
        <w:t>2</w:t>
      </w:r>
      <w:r w:rsidRPr="00855312">
        <w:rPr>
          <w:sz w:val="26"/>
          <w:szCs w:val="26"/>
        </w:rPr>
        <w:t>.</w:t>
      </w:r>
    </w:p>
    <w:p w14:paraId="2351E93C" w14:textId="77777777" w:rsidR="00437E37" w:rsidRPr="00855312" w:rsidRDefault="00437E37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sz w:val="26"/>
          <w:szCs w:val="26"/>
        </w:rPr>
        <w:t xml:space="preserve"> gem. mit Edith Glaser: </w:t>
      </w:r>
      <w:r w:rsidRPr="00855312">
        <w:rPr>
          <w:rFonts w:cs="Arial"/>
          <w:sz w:val="26"/>
          <w:szCs w:val="26"/>
        </w:rPr>
        <w:t>1919: Demokratisierung, Bildungssystem und Politische Bildung. Einführung in den Thementeil. In: Jahrbuch für Historische Bildungsforschung 2</w:t>
      </w:r>
      <w:r w:rsidR="001437CB" w:rsidRPr="00855312">
        <w:rPr>
          <w:rFonts w:cs="Arial"/>
          <w:sz w:val="26"/>
          <w:szCs w:val="26"/>
        </w:rPr>
        <w:t>5</w:t>
      </w:r>
      <w:r w:rsidRPr="00855312">
        <w:rPr>
          <w:rFonts w:cs="Arial"/>
          <w:sz w:val="26"/>
          <w:szCs w:val="26"/>
        </w:rPr>
        <w:t>, 2019, S.</w:t>
      </w:r>
      <w:r w:rsidR="001437CB" w:rsidRPr="00855312">
        <w:rPr>
          <w:rFonts w:cs="Arial"/>
          <w:sz w:val="26"/>
          <w:szCs w:val="26"/>
        </w:rPr>
        <w:t xml:space="preserve"> 9</w:t>
      </w:r>
      <w:r w:rsidR="001437CB" w:rsidRPr="00855312">
        <w:rPr>
          <w:rFonts w:ascii="Times New Roman" w:hAnsi="Times New Roman" w:cs="Arial"/>
          <w:szCs w:val="24"/>
        </w:rPr>
        <w:t>–17.</w:t>
      </w:r>
    </w:p>
    <w:p w14:paraId="186D6E2D" w14:textId="77777777" w:rsidR="0064487B" w:rsidRPr="00855312" w:rsidRDefault="001F65C7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 </w:t>
      </w:r>
      <w:r w:rsidR="00C31289" w:rsidRPr="00855312">
        <w:rPr>
          <w:sz w:val="26"/>
          <w:szCs w:val="26"/>
        </w:rPr>
        <w:t>1918 als Epochenschwelle? Analysen zu Reformpädagogik und bürgerlicher Familienerziehung. In: Historia Scholastica 1 / 2019, S. 8–22.</w:t>
      </w:r>
    </w:p>
    <w:p w14:paraId="392883D9" w14:textId="77777777" w:rsidR="00FF1149" w:rsidRPr="00855312" w:rsidRDefault="001F65C7" w:rsidP="001F65C7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Stiftungen einer Unternehmerfamilie im deutschen Kaiserreich. Sozialisation, Lebensform, Engagement. In: Thomas Höhne, Clemens Striebing (Hrsg.), Stiftungen im Schulwesen. Beltz Juventa, Weinheim/Basel 2020, S. 194-213.</w:t>
      </w:r>
    </w:p>
    <w:p w14:paraId="6256EAF4" w14:textId="77777777" w:rsidR="005255E3" w:rsidRPr="00855312" w:rsidRDefault="003048FB" w:rsidP="001F65C7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5255E3" w:rsidRPr="00855312">
        <w:rPr>
          <w:sz w:val="26"/>
          <w:szCs w:val="26"/>
        </w:rPr>
        <w:t>Ein vergessenes Thema bildungshistorischer Forschung: Mädchen im Bürgertum. In: Thorsten Fuchs, Anja Schierbaum</w:t>
      </w:r>
      <w:r w:rsidR="00ED6EF3" w:rsidRPr="00855312">
        <w:rPr>
          <w:sz w:val="26"/>
          <w:szCs w:val="26"/>
        </w:rPr>
        <w:t>, Alena Berg</w:t>
      </w:r>
      <w:r w:rsidR="005255E3" w:rsidRPr="00855312">
        <w:rPr>
          <w:color w:val="000000"/>
          <w:sz w:val="26"/>
          <w:szCs w:val="26"/>
        </w:rPr>
        <w:t xml:space="preserve"> (Hrsg.): Jugend, Familie und Generationen im Wandel. Erziehungswissenschaftliche Facetten. </w:t>
      </w:r>
      <w:r w:rsidR="00ED6EF3" w:rsidRPr="00855312">
        <w:rPr>
          <w:color w:val="000000"/>
          <w:sz w:val="26"/>
          <w:szCs w:val="26"/>
        </w:rPr>
        <w:t xml:space="preserve">Springer </w:t>
      </w:r>
      <w:r w:rsidR="005255E3" w:rsidRPr="00855312">
        <w:rPr>
          <w:color w:val="000000"/>
          <w:sz w:val="26"/>
          <w:szCs w:val="26"/>
        </w:rPr>
        <w:t>VS, Wiesbaden 2020, S. 43</w:t>
      </w:r>
      <w:r w:rsidR="005255E3" w:rsidRPr="00855312">
        <w:rPr>
          <w:sz w:val="26"/>
          <w:szCs w:val="26"/>
        </w:rPr>
        <w:t>–</w:t>
      </w:r>
      <w:r w:rsidR="005255E3" w:rsidRPr="00855312">
        <w:rPr>
          <w:color w:val="000000"/>
          <w:sz w:val="26"/>
          <w:szCs w:val="26"/>
        </w:rPr>
        <w:t>62.</w:t>
      </w:r>
    </w:p>
    <w:p w14:paraId="3B808BA7" w14:textId="77777777" w:rsidR="007672B3" w:rsidRPr="00855312" w:rsidRDefault="003048FB" w:rsidP="001F65C7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7672B3" w:rsidRPr="00855312">
        <w:rPr>
          <w:sz w:val="26"/>
          <w:szCs w:val="26"/>
        </w:rPr>
        <w:t>Texte einer Diskursgemeinschaft: Die preußischen Heeresreformer schreiben über Bildung. Quellentexte von Gerhard von Scharnhorst und August Wilhelm Neidhardt von Gneisenau. In: Jahrbuch für Historische Bildungsforschung 26, 2020, S. 19</w:t>
      </w:r>
      <w:r w:rsidR="009B2AEF" w:rsidRPr="00855312">
        <w:rPr>
          <w:sz w:val="26"/>
          <w:szCs w:val="26"/>
        </w:rPr>
        <w:t>6</w:t>
      </w:r>
      <w:r w:rsidR="007672B3" w:rsidRPr="00855312">
        <w:rPr>
          <w:sz w:val="26"/>
          <w:szCs w:val="26"/>
        </w:rPr>
        <w:t>–22</w:t>
      </w:r>
      <w:r w:rsidR="009B2AEF" w:rsidRPr="00855312">
        <w:rPr>
          <w:sz w:val="26"/>
          <w:szCs w:val="26"/>
        </w:rPr>
        <w:t>9</w:t>
      </w:r>
      <w:r w:rsidR="007672B3" w:rsidRPr="00855312">
        <w:rPr>
          <w:sz w:val="26"/>
          <w:szCs w:val="26"/>
        </w:rPr>
        <w:t xml:space="preserve">. </w:t>
      </w:r>
    </w:p>
    <w:p w14:paraId="4D7A468E" w14:textId="77777777" w:rsidR="00D24B82" w:rsidRPr="00855312" w:rsidRDefault="003048FB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D24B82" w:rsidRPr="00855312">
        <w:rPr>
          <w:sz w:val="26"/>
          <w:szCs w:val="26"/>
        </w:rPr>
        <w:t xml:space="preserve">Familiengedächtnisse und Familienstrategien. In: Jutta Ecarius, Anja Schierbaum (Hrsg.): Handbuch Familie, VS Verlag für Sozialwissenschaften, Wiesbaden 2020 (vollst. überarb. Fassung von Nr. 31). </w:t>
      </w:r>
      <w:hyperlink r:id="rId7" w:history="1">
        <w:r w:rsidR="00FD7F45" w:rsidRPr="00855312">
          <w:rPr>
            <w:rStyle w:val="Hyperlink"/>
            <w:rFonts w:cs="AdvTT5843c571"/>
            <w:sz w:val="26"/>
            <w:szCs w:val="26"/>
          </w:rPr>
          <w:t>https://doi.org/10.1007/978-3-658-19416-1_31-1</w:t>
        </w:r>
      </w:hyperlink>
      <w:r w:rsidR="00D24B82" w:rsidRPr="00855312">
        <w:rPr>
          <w:rFonts w:cs="AdvTT5843c571"/>
          <w:sz w:val="26"/>
          <w:szCs w:val="26"/>
        </w:rPr>
        <w:t>.</w:t>
      </w:r>
    </w:p>
    <w:p w14:paraId="66F19AF6" w14:textId="77777777" w:rsidR="00FD7F45" w:rsidRPr="00855312" w:rsidRDefault="003048FB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sz w:val="26"/>
          <w:szCs w:val="26"/>
        </w:rPr>
        <w:t xml:space="preserve"> Freundschaften mit Auftrag und Gefährdung: Im George-Kreis. In: George-Jahrbuch 13, 2020/2021, S. 1-25 (Wiederabdruck von Nr. 62)</w:t>
      </w:r>
    </w:p>
    <w:p w14:paraId="5DD2C65A" w14:textId="6CF9A2BF" w:rsidR="000A52FE" w:rsidRPr="00855312" w:rsidRDefault="000A52FE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bookmarkStart w:id="0" w:name="_Hlk97740447"/>
      <w:r w:rsidRPr="00855312">
        <w:rPr>
          <w:rFonts w:cs="Arial"/>
          <w:sz w:val="26"/>
          <w:szCs w:val="26"/>
        </w:rPr>
        <w:t xml:space="preserve">Schülerpensionen. Ein </w:t>
      </w:r>
      <w:r w:rsidR="0051690D" w:rsidRPr="00855312">
        <w:rPr>
          <w:rFonts w:cs="Arial"/>
          <w:sz w:val="26"/>
          <w:szCs w:val="26"/>
        </w:rPr>
        <w:t>unerforschter Gegenstand</w:t>
      </w:r>
      <w:r w:rsidRPr="00855312">
        <w:rPr>
          <w:rFonts w:cs="Arial"/>
          <w:sz w:val="26"/>
          <w:szCs w:val="26"/>
        </w:rPr>
        <w:t xml:space="preserve"> der </w:t>
      </w:r>
      <w:r w:rsidR="0051690D" w:rsidRPr="00855312">
        <w:rPr>
          <w:rFonts w:cs="Arial"/>
          <w:sz w:val="26"/>
          <w:szCs w:val="26"/>
        </w:rPr>
        <w:t xml:space="preserve">deutschen </w:t>
      </w:r>
      <w:r w:rsidRPr="00855312">
        <w:rPr>
          <w:rFonts w:cs="Arial"/>
          <w:sz w:val="26"/>
          <w:szCs w:val="26"/>
        </w:rPr>
        <w:t xml:space="preserve">Schul- und Jugendgeschichte im 19. und 20. Jahrhundert. In: Zeitschrift für Pädagogik </w:t>
      </w:r>
      <w:r w:rsidR="003A3926" w:rsidRPr="00855312">
        <w:rPr>
          <w:rFonts w:cs="Arial"/>
          <w:sz w:val="26"/>
          <w:szCs w:val="26"/>
        </w:rPr>
        <w:t xml:space="preserve">67, Heft </w:t>
      </w:r>
      <w:r w:rsidRPr="00855312">
        <w:rPr>
          <w:rFonts w:cs="Arial"/>
          <w:sz w:val="26"/>
          <w:szCs w:val="26"/>
        </w:rPr>
        <w:t xml:space="preserve">3/2021, S. 431-454 </w:t>
      </w:r>
      <w:bookmarkEnd w:id="0"/>
      <w:r w:rsidRPr="00855312">
        <w:rPr>
          <w:rFonts w:cs="Arial"/>
          <w:sz w:val="26"/>
          <w:szCs w:val="26"/>
        </w:rPr>
        <w:t>(peer reviewed).</w:t>
      </w:r>
    </w:p>
    <w:p w14:paraId="7A10559D" w14:textId="77777777" w:rsidR="000A52FE" w:rsidRPr="00855312" w:rsidRDefault="000A52FE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rFonts w:cs="Arial"/>
          <w:sz w:val="26"/>
          <w:szCs w:val="26"/>
        </w:rPr>
        <w:t xml:space="preserve">Art. Familie, in: Kluchert, Gerhard, Horn, Klaus-Peter, Groppe, Carola, Caruso, Marcelo (Hrsg.): Historische Bildungsforschung. Konzepte </w:t>
      </w:r>
      <w:r w:rsidRPr="00855312">
        <w:rPr>
          <w:rFonts w:ascii="Times New Roman" w:hAnsi="Times New Roman" w:cs="Arial"/>
          <w:szCs w:val="24"/>
        </w:rPr>
        <w:t>–</w:t>
      </w:r>
      <w:r w:rsidRPr="00855312">
        <w:rPr>
          <w:rFonts w:cs="Arial"/>
          <w:sz w:val="26"/>
          <w:szCs w:val="26"/>
        </w:rPr>
        <w:t xml:space="preserve"> Methoden </w:t>
      </w:r>
      <w:r w:rsidRPr="00855312">
        <w:rPr>
          <w:rFonts w:ascii="Times New Roman" w:hAnsi="Times New Roman" w:cs="Arial"/>
          <w:szCs w:val="24"/>
        </w:rPr>
        <w:t>–</w:t>
      </w:r>
      <w:r w:rsidRPr="00855312">
        <w:rPr>
          <w:rFonts w:cs="Arial"/>
          <w:sz w:val="26"/>
          <w:szCs w:val="26"/>
        </w:rPr>
        <w:t xml:space="preserve"> Forschungsfelder. Klinkhardt/UTB 2021, S. 181-193. </w:t>
      </w:r>
    </w:p>
    <w:p w14:paraId="5FB16FF4" w14:textId="77777777" w:rsidR="00D24B82" w:rsidRPr="00855312" w:rsidRDefault="000A52FE" w:rsidP="00D24B82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rFonts w:cs="Arial"/>
          <w:sz w:val="26"/>
          <w:szCs w:val="26"/>
        </w:rPr>
        <w:t xml:space="preserve">gem. mit Kluchert, Gerhard, Horn, Klaus-Peter, Caruso, Marcelo: Konzepte, Methoden und Forschungsfelder der Historischen Bildungsforschung. Zur Einführung. In: Kluchert, Gerhard, Horn, Klaus-Peter, Groppe, Carola, Caruso, Marcelo (Hrsg.): Historische Bildungsforschung. Konzepte </w:t>
      </w:r>
      <w:r w:rsidRPr="00855312">
        <w:rPr>
          <w:rFonts w:ascii="Times New Roman" w:hAnsi="Times New Roman" w:cs="Arial"/>
          <w:szCs w:val="24"/>
        </w:rPr>
        <w:t>–</w:t>
      </w:r>
      <w:r w:rsidRPr="00855312">
        <w:rPr>
          <w:rFonts w:cs="Arial"/>
          <w:sz w:val="26"/>
          <w:szCs w:val="26"/>
        </w:rPr>
        <w:t xml:space="preserve"> Methoden </w:t>
      </w:r>
      <w:r w:rsidRPr="00855312">
        <w:rPr>
          <w:rFonts w:ascii="Times New Roman" w:hAnsi="Times New Roman" w:cs="Arial"/>
          <w:szCs w:val="24"/>
        </w:rPr>
        <w:t>–</w:t>
      </w:r>
      <w:r w:rsidRPr="00855312">
        <w:rPr>
          <w:rFonts w:cs="Arial"/>
          <w:sz w:val="26"/>
          <w:szCs w:val="26"/>
        </w:rPr>
        <w:t xml:space="preserve"> Forschungsfelder. </w:t>
      </w:r>
      <w:r w:rsidR="00157EEE" w:rsidRPr="00855312">
        <w:rPr>
          <w:rFonts w:cs="Arial"/>
          <w:sz w:val="26"/>
          <w:szCs w:val="26"/>
        </w:rPr>
        <w:t xml:space="preserve">Bad Heilbrunn, </w:t>
      </w:r>
      <w:r w:rsidRPr="00855312">
        <w:rPr>
          <w:rFonts w:cs="Arial"/>
          <w:sz w:val="26"/>
          <w:szCs w:val="26"/>
        </w:rPr>
        <w:t>Klinkhardt/UTB 2021, S. 13-27.</w:t>
      </w:r>
    </w:p>
    <w:p w14:paraId="3520D0AA" w14:textId="05118446" w:rsidR="00035E74" w:rsidRPr="00855312" w:rsidRDefault="00035E74" w:rsidP="002E4571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rFonts w:cs="Arial"/>
          <w:sz w:val="26"/>
          <w:szCs w:val="26"/>
        </w:rPr>
        <w:t xml:space="preserve">Geschichte der </w:t>
      </w:r>
      <w:r w:rsidRPr="00855312">
        <w:rPr>
          <w:sz w:val="26"/>
          <w:szCs w:val="26"/>
        </w:rPr>
        <w:t>Familienerziehung</w:t>
      </w:r>
      <w:r w:rsidRPr="00855312">
        <w:rPr>
          <w:rFonts w:cs="Arial"/>
          <w:sz w:val="26"/>
          <w:szCs w:val="26"/>
        </w:rPr>
        <w:t xml:space="preserve">. In: Matthes, Eva, Kesper-Biermann, Sylvia, Link, Jörg, Schütze, </w:t>
      </w:r>
      <w:r w:rsidRPr="00855312">
        <w:rPr>
          <w:sz w:val="26"/>
          <w:szCs w:val="26"/>
        </w:rPr>
        <w:t>Sylvia</w:t>
      </w:r>
      <w:r w:rsidRPr="00855312">
        <w:rPr>
          <w:rFonts w:cs="Arial"/>
          <w:sz w:val="26"/>
          <w:szCs w:val="26"/>
        </w:rPr>
        <w:t xml:space="preserve"> (Hrsg.), Studienbuch Erziehungs- und Bildungsgeschichte. Vom 18. Jahrhundert bis zum Ende des 20. Jahrhunderts, Bad Heilbrunn</w:t>
      </w:r>
      <w:r w:rsidR="00157EEE" w:rsidRPr="00855312">
        <w:rPr>
          <w:rFonts w:cs="Arial"/>
          <w:sz w:val="26"/>
          <w:szCs w:val="26"/>
        </w:rPr>
        <w:t>, Klinkhardt</w:t>
      </w:r>
      <w:r w:rsidR="00432C03" w:rsidRPr="00855312">
        <w:rPr>
          <w:rFonts w:cs="Arial"/>
          <w:sz w:val="26"/>
          <w:szCs w:val="26"/>
        </w:rPr>
        <w:t>/</w:t>
      </w:r>
      <w:r w:rsidR="00157EEE" w:rsidRPr="00855312">
        <w:rPr>
          <w:rFonts w:cs="Arial"/>
          <w:sz w:val="26"/>
          <w:szCs w:val="26"/>
        </w:rPr>
        <w:t>UTB</w:t>
      </w:r>
      <w:r w:rsidRPr="00855312">
        <w:rPr>
          <w:rFonts w:cs="Arial"/>
          <w:sz w:val="26"/>
          <w:szCs w:val="26"/>
        </w:rPr>
        <w:t xml:space="preserve"> 2021, S. 73-92.</w:t>
      </w:r>
    </w:p>
    <w:p w14:paraId="46F1C83F" w14:textId="77777777" w:rsidR="00314AC3" w:rsidRPr="00855312" w:rsidRDefault="00314AC3" w:rsidP="00314AC3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gem. mit </w:t>
      </w:r>
      <w:r w:rsidRPr="00855312">
        <w:rPr>
          <w:rFonts w:cs="Arial"/>
          <w:sz w:val="26"/>
          <w:szCs w:val="26"/>
        </w:rPr>
        <w:t>Ute</w:t>
      </w:r>
      <w:r w:rsidRPr="00855312">
        <w:rPr>
          <w:sz w:val="26"/>
          <w:szCs w:val="26"/>
        </w:rPr>
        <w:t xml:space="preserve"> Oelmann: Zum Thema Pädagogik, männliche Jugend und sexualisierte Gewalt im George-Kreis. Eine Analyse des Briefwechsels zwischen Stefan George und Ernst Morwitz (1905–1933). In: George-Jahrbuch 14, 2022</w:t>
      </w:r>
      <w:r w:rsidR="00136C2B" w:rsidRPr="00855312">
        <w:rPr>
          <w:sz w:val="26"/>
          <w:szCs w:val="26"/>
        </w:rPr>
        <w:t>, S. 3-58.</w:t>
      </w:r>
    </w:p>
    <w:p w14:paraId="449C0575" w14:textId="77777777" w:rsidR="00497678" w:rsidRPr="00855312" w:rsidRDefault="00497678" w:rsidP="00497678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Wie kommt die Aufklärung in die Regierung? Der Justizminister Karl Abraham von Zedlitz (1731–1793) und der Finanzminister Carl August von Struensee (1735–1804). In: Georg Eckert/Carola Groppe/Ulrike Höroldt (Hrsg.): Preußische Staatsmänner. Herkunft, Erziehung und Ausbildung, Karrieren, Dienstalltag und Weltbilder zwischen 1740 und 1806, Berlin: Duncker &amp; Humblot 2023, S. 101-138.</w:t>
      </w:r>
    </w:p>
    <w:p w14:paraId="276C83B0" w14:textId="7F2E384C" w:rsidR="00E055C0" w:rsidRPr="00855312" w:rsidRDefault="00E055C0" w:rsidP="00F904AD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 xml:space="preserve">gem. mit Dennis Mathie: </w:t>
      </w:r>
      <w:r w:rsidRPr="00855312">
        <w:rPr>
          <w:rFonts w:cs="Arial"/>
          <w:sz w:val="26"/>
          <w:szCs w:val="26"/>
        </w:rPr>
        <w:t>Schülerleben</w:t>
      </w:r>
      <w:r w:rsidRPr="00855312">
        <w:rPr>
          <w:color w:val="000000" w:themeColor="text1"/>
          <w:sz w:val="26"/>
          <w:szCs w:val="26"/>
        </w:rPr>
        <w:t xml:space="preserve"> in der Schülerpension – Funktion und Bedeutung einer Lebensform für </w:t>
      </w:r>
      <w:r w:rsidRPr="00855312">
        <w:rPr>
          <w:rFonts w:cs="Arial"/>
          <w:sz w:val="26"/>
          <w:szCs w:val="26"/>
        </w:rPr>
        <w:t>höhere</w:t>
      </w:r>
      <w:r w:rsidRPr="00855312">
        <w:rPr>
          <w:color w:val="000000" w:themeColor="text1"/>
          <w:sz w:val="26"/>
          <w:szCs w:val="26"/>
        </w:rPr>
        <w:t xml:space="preserve"> Schüler im 19. und frühen 20. Jahrhundert, erscheint in: Daniel Gerster/Carola Groppe (Hrsg.): </w:t>
      </w:r>
      <w:r w:rsidRPr="00855312">
        <w:rPr>
          <w:sz w:val="26"/>
          <w:szCs w:val="26"/>
        </w:rPr>
        <w:t>Schülerinnen- und Schülerleben im 19. und frühen 20. Jahrhundert. Bad Heilbrunn: Klinkhardt 2023, S. 199-224.</w:t>
      </w:r>
    </w:p>
    <w:p w14:paraId="3CBF3875" w14:textId="5C872A22" w:rsidR="00DE4D59" w:rsidRPr="00855312" w:rsidRDefault="00DE4D59" w:rsidP="00DE4D59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Style w:val="Hyperlink"/>
          <w:color w:val="auto"/>
          <w:sz w:val="26"/>
          <w:szCs w:val="26"/>
          <w:u w:val="none"/>
        </w:rPr>
      </w:pPr>
      <w:r w:rsidRPr="00855312">
        <w:rPr>
          <w:rFonts w:cs="Arial"/>
          <w:sz w:val="26"/>
          <w:szCs w:val="26"/>
        </w:rPr>
        <w:t xml:space="preserve">mit Julia Kurig und Julia Petruv: ‚Preußische‘ Reformer? Sozialisationsprozesse, Kosmopolitismus und die Gelegenheitsstrukturen in Preußen nach 1806. In: Hamburger Beiträge zur Erziehungs- und Sozialwissenschaft Heft 18, 2023. Online unter: </w:t>
      </w:r>
      <w:hyperlink r:id="rId8" w:history="1">
        <w:r w:rsidRPr="00855312">
          <w:rPr>
            <w:rStyle w:val="Hyperlink"/>
            <w:rFonts w:cs="Arial"/>
            <w:color w:val="auto"/>
            <w:sz w:val="26"/>
            <w:szCs w:val="26"/>
            <w:u w:val="none"/>
          </w:rPr>
          <w:t>https://doi.org/10.24405/15193</w:t>
        </w:r>
      </w:hyperlink>
      <w:r w:rsidR="00490176" w:rsidRPr="00855312">
        <w:rPr>
          <w:rStyle w:val="Hyperlink"/>
          <w:rFonts w:cs="Arial"/>
          <w:color w:val="auto"/>
          <w:sz w:val="26"/>
          <w:szCs w:val="26"/>
          <w:u w:val="none"/>
        </w:rPr>
        <w:t xml:space="preserve"> (</w:t>
      </w:r>
      <w:r w:rsidR="00490176" w:rsidRPr="00855312">
        <w:rPr>
          <w:rFonts w:cs="Arial"/>
          <w:sz w:val="26"/>
          <w:szCs w:val="26"/>
        </w:rPr>
        <w:t>75 S.)</w:t>
      </w:r>
      <w:r w:rsidR="00490176" w:rsidRPr="00855312">
        <w:rPr>
          <w:rStyle w:val="Hyperlink"/>
          <w:rFonts w:cs="Arial"/>
          <w:color w:val="auto"/>
          <w:sz w:val="26"/>
          <w:szCs w:val="26"/>
          <w:u w:val="none"/>
        </w:rPr>
        <w:t>.</w:t>
      </w:r>
    </w:p>
    <w:p w14:paraId="2B3921CD" w14:textId="2BC95509" w:rsidR="00490176" w:rsidRPr="00855312" w:rsidRDefault="00490176" w:rsidP="00DE4D59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rStyle w:val="Hyperlink"/>
          <w:rFonts w:cs="Arial"/>
          <w:color w:val="auto"/>
          <w:sz w:val="26"/>
          <w:szCs w:val="26"/>
          <w:u w:val="none"/>
        </w:rPr>
        <w:t xml:space="preserve">mit Edith Glaser und Jürgen Overhoff:Vorwort: Universitäten und Hochschulen zwischen Beharrung und Reform. Bildungshistorische Perspektiven. In: </w:t>
      </w:r>
      <w:r w:rsidRPr="00855312">
        <w:rPr>
          <w:rFonts w:cs="Arial"/>
          <w:sz w:val="26"/>
          <w:szCs w:val="26"/>
        </w:rPr>
        <w:t xml:space="preserve">Edith Glaser, Carola Groppe, Jürgen Overhoff (Hrsg.): </w:t>
      </w:r>
      <w:r w:rsidRPr="00855312">
        <w:rPr>
          <w:rFonts w:cs="AGaramondPro-Bold"/>
          <w:sz w:val="26"/>
          <w:szCs w:val="26"/>
        </w:rPr>
        <w:t xml:space="preserve">Universitäten und Hochschulen zwischen Beharrung </w:t>
      </w:r>
      <w:r w:rsidRPr="00855312">
        <w:rPr>
          <w:color w:val="000000" w:themeColor="text1"/>
          <w:sz w:val="26"/>
          <w:szCs w:val="26"/>
        </w:rPr>
        <w:t>und</w:t>
      </w:r>
      <w:r w:rsidRPr="00855312">
        <w:rPr>
          <w:rFonts w:cs="AGaramondPro-Bold"/>
          <w:sz w:val="26"/>
          <w:szCs w:val="26"/>
        </w:rPr>
        <w:t xml:space="preserve"> Reform. Bildungshistorische Perspektiven </w:t>
      </w:r>
      <w:r w:rsidRPr="00855312">
        <w:rPr>
          <w:sz w:val="26"/>
          <w:szCs w:val="26"/>
        </w:rPr>
        <w:t>Verlag Julius Klinkhardt, Bad Heilbrunn/Obb 2024, S. 9-13.</w:t>
      </w:r>
    </w:p>
    <w:p w14:paraId="308A3AE9" w14:textId="77777777" w:rsidR="00497678" w:rsidRPr="00855312" w:rsidRDefault="00497678" w:rsidP="00497678">
      <w:pPr>
        <w:pStyle w:val="Textkrper"/>
        <w:spacing w:after="240" w:line="284" w:lineRule="exact"/>
        <w:ind w:left="284"/>
        <w:rPr>
          <w:sz w:val="26"/>
          <w:szCs w:val="26"/>
        </w:rPr>
      </w:pPr>
    </w:p>
    <w:p w14:paraId="4202DB94" w14:textId="77777777" w:rsidR="00CC08DC" w:rsidRPr="00855312" w:rsidRDefault="00381838">
      <w:pPr>
        <w:pStyle w:val="Textkrper"/>
        <w:spacing w:after="240" w:line="284" w:lineRule="exact"/>
        <w:rPr>
          <w:b/>
          <w:sz w:val="26"/>
          <w:szCs w:val="26"/>
        </w:rPr>
      </w:pPr>
      <w:r w:rsidRPr="00855312">
        <w:rPr>
          <w:b/>
          <w:sz w:val="26"/>
          <w:szCs w:val="26"/>
        </w:rPr>
        <w:t>Herausgeberschaften:</w:t>
      </w:r>
    </w:p>
    <w:p w14:paraId="02AE9BEE" w14:textId="77777777" w:rsidR="00821DF0" w:rsidRPr="00855312" w:rsidRDefault="008C1C1E" w:rsidP="00821DF0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821DF0" w:rsidRPr="00855312">
        <w:rPr>
          <w:sz w:val="26"/>
          <w:szCs w:val="26"/>
        </w:rPr>
        <w:t>gem. mit Frauke Blum (Hrsg.): Eine Bürgerfamilie des 19. Jahrhunderts. Eduard und Sophie Colsman und ihre Kinder. Ein Familienleben in Briefen, Vel</w:t>
      </w:r>
      <w:r w:rsidR="00821DF0" w:rsidRPr="00855312">
        <w:rPr>
          <w:sz w:val="26"/>
          <w:szCs w:val="26"/>
        </w:rPr>
        <w:softHyphen/>
        <w:t>bert/Langenberg 2000.</w:t>
      </w:r>
    </w:p>
    <w:p w14:paraId="7FA0A0CB" w14:textId="77777777" w:rsidR="00830828" w:rsidRPr="00855312" w:rsidRDefault="008C1C1E" w:rsidP="001F65C7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830828" w:rsidRPr="00855312">
        <w:rPr>
          <w:sz w:val="26"/>
          <w:szCs w:val="26"/>
        </w:rPr>
        <w:t>gem. mit Jutta Ecarius, Hans Malmede (H</w:t>
      </w:r>
      <w:r w:rsidR="004A2E9B" w:rsidRPr="00855312">
        <w:rPr>
          <w:sz w:val="26"/>
          <w:szCs w:val="26"/>
        </w:rPr>
        <w:t>rs</w:t>
      </w:r>
      <w:r w:rsidR="00830828" w:rsidRPr="00855312">
        <w:rPr>
          <w:sz w:val="26"/>
          <w:szCs w:val="26"/>
        </w:rPr>
        <w:t>g.)</w:t>
      </w:r>
      <w:r w:rsidR="004A2E9B" w:rsidRPr="00855312">
        <w:rPr>
          <w:sz w:val="26"/>
          <w:szCs w:val="26"/>
        </w:rPr>
        <w:t>:</w:t>
      </w:r>
      <w:r w:rsidR="00830828" w:rsidRPr="00855312">
        <w:rPr>
          <w:sz w:val="26"/>
          <w:szCs w:val="26"/>
        </w:rPr>
        <w:t xml:space="preserve"> Familie und öffentliche Erziehung. Theoretische Zugänge, historische Analysen, aktuelle Perspektiven. VS-Verlag </w:t>
      </w:r>
      <w:r w:rsidR="00DF2BDA" w:rsidRPr="00855312">
        <w:rPr>
          <w:sz w:val="26"/>
          <w:szCs w:val="26"/>
        </w:rPr>
        <w:t>f</w:t>
      </w:r>
      <w:r w:rsidR="008741DB" w:rsidRPr="00855312">
        <w:rPr>
          <w:sz w:val="26"/>
          <w:szCs w:val="26"/>
        </w:rPr>
        <w:t>ür So</w:t>
      </w:r>
      <w:r w:rsidR="00DF2BDA" w:rsidRPr="00855312">
        <w:rPr>
          <w:sz w:val="26"/>
          <w:szCs w:val="26"/>
        </w:rPr>
        <w:softHyphen/>
      </w:r>
      <w:r w:rsidR="008741DB" w:rsidRPr="00855312">
        <w:rPr>
          <w:sz w:val="26"/>
          <w:szCs w:val="26"/>
        </w:rPr>
        <w:t xml:space="preserve">zialwissenschaften, </w:t>
      </w:r>
      <w:r w:rsidR="00830828" w:rsidRPr="00855312">
        <w:rPr>
          <w:sz w:val="26"/>
          <w:szCs w:val="26"/>
        </w:rPr>
        <w:t>Wiesbaden 200</w:t>
      </w:r>
      <w:r w:rsidR="000271F8" w:rsidRPr="00855312">
        <w:rPr>
          <w:sz w:val="26"/>
          <w:szCs w:val="26"/>
        </w:rPr>
        <w:t>9</w:t>
      </w:r>
      <w:r w:rsidR="00830828" w:rsidRPr="00855312">
        <w:rPr>
          <w:sz w:val="26"/>
          <w:szCs w:val="26"/>
        </w:rPr>
        <w:t>.</w:t>
      </w:r>
    </w:p>
    <w:p w14:paraId="504599D0" w14:textId="77777777" w:rsidR="00CC08DC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CC08DC" w:rsidRPr="00855312">
        <w:rPr>
          <w:sz w:val="26"/>
          <w:szCs w:val="26"/>
        </w:rPr>
        <w:t>gem. mit Klaus-Peter Horn, Gerhard Kluchert (Red.): Jahrbuch für Historische Bildungsforschung (</w:t>
      </w:r>
      <w:r w:rsidR="0075782A" w:rsidRPr="00855312">
        <w:rPr>
          <w:sz w:val="26"/>
          <w:szCs w:val="26"/>
        </w:rPr>
        <w:t xml:space="preserve">jährlich erscheinend, </w:t>
      </w:r>
      <w:r w:rsidR="00DD1AC3" w:rsidRPr="00855312">
        <w:rPr>
          <w:sz w:val="26"/>
          <w:szCs w:val="26"/>
        </w:rPr>
        <w:t>Redaktion und Mitherausgabe der Jahrbücher 1</w:t>
      </w:r>
      <w:r w:rsidR="006D2572" w:rsidRPr="00855312">
        <w:rPr>
          <w:sz w:val="26"/>
          <w:szCs w:val="26"/>
        </w:rPr>
        <w:t>2</w:t>
      </w:r>
      <w:r w:rsidR="00DD1AC3" w:rsidRPr="00855312">
        <w:rPr>
          <w:sz w:val="26"/>
          <w:szCs w:val="26"/>
        </w:rPr>
        <w:t>/2006; 1</w:t>
      </w:r>
      <w:r w:rsidR="006D2572" w:rsidRPr="00855312">
        <w:rPr>
          <w:sz w:val="26"/>
          <w:szCs w:val="26"/>
        </w:rPr>
        <w:t>3</w:t>
      </w:r>
      <w:r w:rsidR="00DD1AC3" w:rsidRPr="00855312">
        <w:rPr>
          <w:sz w:val="26"/>
          <w:szCs w:val="26"/>
        </w:rPr>
        <w:t>/2007; 1</w:t>
      </w:r>
      <w:r w:rsidR="006D2572" w:rsidRPr="00855312">
        <w:rPr>
          <w:sz w:val="26"/>
          <w:szCs w:val="26"/>
        </w:rPr>
        <w:t>4</w:t>
      </w:r>
      <w:r w:rsidR="00DD1AC3" w:rsidRPr="00855312">
        <w:rPr>
          <w:sz w:val="26"/>
          <w:szCs w:val="26"/>
        </w:rPr>
        <w:t>/2008</w:t>
      </w:r>
      <w:r w:rsidR="001E59C9" w:rsidRPr="00855312">
        <w:rPr>
          <w:sz w:val="26"/>
          <w:szCs w:val="26"/>
        </w:rPr>
        <w:t>; 1</w:t>
      </w:r>
      <w:r w:rsidR="006D2572" w:rsidRPr="00855312">
        <w:rPr>
          <w:sz w:val="26"/>
          <w:szCs w:val="26"/>
        </w:rPr>
        <w:t>5</w:t>
      </w:r>
      <w:r w:rsidR="001E59C9" w:rsidRPr="00855312">
        <w:rPr>
          <w:sz w:val="26"/>
          <w:szCs w:val="26"/>
        </w:rPr>
        <w:t>/2009</w:t>
      </w:r>
      <w:r w:rsidR="00E82EDA" w:rsidRPr="00855312">
        <w:rPr>
          <w:sz w:val="26"/>
          <w:szCs w:val="26"/>
        </w:rPr>
        <w:t>, 16/2010</w:t>
      </w:r>
      <w:r w:rsidR="00CC08DC" w:rsidRPr="00855312">
        <w:rPr>
          <w:sz w:val="26"/>
          <w:szCs w:val="26"/>
        </w:rPr>
        <w:t>)</w:t>
      </w:r>
      <w:r w:rsidR="008741DB" w:rsidRPr="00855312">
        <w:rPr>
          <w:sz w:val="26"/>
          <w:szCs w:val="26"/>
        </w:rPr>
        <w:t>, Verlag Julius Klinkhardt, Bad Heilbrunn/Obb</w:t>
      </w:r>
      <w:r w:rsidR="008919F1" w:rsidRPr="00855312">
        <w:rPr>
          <w:sz w:val="26"/>
          <w:szCs w:val="26"/>
        </w:rPr>
        <w:t>.</w:t>
      </w:r>
    </w:p>
    <w:p w14:paraId="192A9A1B" w14:textId="77777777" w:rsidR="00946934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946934" w:rsidRPr="00855312">
        <w:rPr>
          <w:sz w:val="26"/>
          <w:szCs w:val="26"/>
        </w:rPr>
        <w:t>gem. mit Mechtild Gomolla (Hrsg.): Hamburger Beiträge zur Erziehungs- und Sozialwissenschaft (Helmut-Schmidt-Universität, Universität der Bundeswehr Hamburg)</w:t>
      </w:r>
      <w:r w:rsidR="00D0738E" w:rsidRPr="00855312">
        <w:rPr>
          <w:sz w:val="26"/>
          <w:szCs w:val="26"/>
        </w:rPr>
        <w:t>.</w:t>
      </w:r>
      <w:r w:rsidR="00946934" w:rsidRPr="00855312">
        <w:rPr>
          <w:sz w:val="26"/>
          <w:szCs w:val="26"/>
        </w:rPr>
        <w:t xml:space="preserve"> </w:t>
      </w:r>
    </w:p>
    <w:p w14:paraId="1266B39C" w14:textId="77777777" w:rsidR="00823BCF" w:rsidRPr="00855312" w:rsidRDefault="00823BCF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gem. mit Meike Sophia Baader, Petra Götte (Hrsg.): Familientraditionen und Familienkulturen. Theoretische Konzeptionen, historische und aktuelle Perspektiven. </w:t>
      </w:r>
      <w:r w:rsidR="007D0121" w:rsidRPr="00855312">
        <w:rPr>
          <w:sz w:val="26"/>
          <w:szCs w:val="26"/>
        </w:rPr>
        <w:t xml:space="preserve">Springer </w:t>
      </w:r>
      <w:r w:rsidRPr="00855312">
        <w:rPr>
          <w:sz w:val="26"/>
          <w:szCs w:val="26"/>
        </w:rPr>
        <w:t>VS, Wiesbaden 201</w:t>
      </w:r>
      <w:r w:rsidR="005202A1" w:rsidRPr="00855312">
        <w:rPr>
          <w:sz w:val="26"/>
          <w:szCs w:val="26"/>
        </w:rPr>
        <w:t>3</w:t>
      </w:r>
      <w:r w:rsidRPr="00855312">
        <w:rPr>
          <w:sz w:val="26"/>
          <w:szCs w:val="26"/>
        </w:rPr>
        <w:t>.</w:t>
      </w:r>
    </w:p>
    <w:p w14:paraId="09052B30" w14:textId="77777777" w:rsidR="002120AB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2120AB" w:rsidRPr="00855312">
        <w:rPr>
          <w:sz w:val="26"/>
          <w:szCs w:val="26"/>
        </w:rPr>
        <w:t xml:space="preserve">gem. mit Gerhard Kluchert, Eva Mathes (Hrsg.), Bildung und Differenz. </w:t>
      </w:r>
      <w:r w:rsidR="00515CE0" w:rsidRPr="00855312">
        <w:rPr>
          <w:sz w:val="26"/>
          <w:szCs w:val="26"/>
        </w:rPr>
        <w:t xml:space="preserve">Historische Analysen zu einem aktuellen Problem. </w:t>
      </w:r>
      <w:r w:rsidR="002120AB" w:rsidRPr="00855312">
        <w:rPr>
          <w:sz w:val="26"/>
          <w:szCs w:val="26"/>
        </w:rPr>
        <w:t>Springer VS, Wiesbaden 2015</w:t>
      </w:r>
      <w:r w:rsidR="00515CE0" w:rsidRPr="00855312">
        <w:rPr>
          <w:sz w:val="26"/>
          <w:szCs w:val="26"/>
        </w:rPr>
        <w:t>.</w:t>
      </w:r>
    </w:p>
    <w:p w14:paraId="265676CD" w14:textId="2ED125E1" w:rsidR="00AC032B" w:rsidRPr="00855312" w:rsidRDefault="008C1C1E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</w:t>
      </w:r>
      <w:r w:rsidR="0006360B" w:rsidRPr="00855312">
        <w:rPr>
          <w:sz w:val="26"/>
          <w:szCs w:val="26"/>
        </w:rPr>
        <w:t>g</w:t>
      </w:r>
      <w:r w:rsidR="00AC032B" w:rsidRPr="00855312">
        <w:rPr>
          <w:sz w:val="26"/>
          <w:szCs w:val="26"/>
        </w:rPr>
        <w:t>em. mit Edith Glaser</w:t>
      </w:r>
      <w:r w:rsidR="00C03B20" w:rsidRPr="00855312">
        <w:rPr>
          <w:sz w:val="26"/>
          <w:szCs w:val="26"/>
        </w:rPr>
        <w:t xml:space="preserve"> (Hrsg.)</w:t>
      </w:r>
      <w:r w:rsidR="00AC032B" w:rsidRPr="00855312">
        <w:rPr>
          <w:sz w:val="26"/>
          <w:szCs w:val="26"/>
        </w:rPr>
        <w:t>: Schwerpunkt „1919“</w:t>
      </w:r>
      <w:r w:rsidR="00113D40" w:rsidRPr="00855312">
        <w:rPr>
          <w:sz w:val="26"/>
          <w:szCs w:val="26"/>
        </w:rPr>
        <w:t xml:space="preserve">, </w:t>
      </w:r>
      <w:r w:rsidR="00AC032B" w:rsidRPr="00855312">
        <w:rPr>
          <w:sz w:val="26"/>
          <w:szCs w:val="26"/>
        </w:rPr>
        <w:t>Jahrbuch für Historische Bildungsforschung 2</w:t>
      </w:r>
      <w:r w:rsidR="001437CB" w:rsidRPr="00855312">
        <w:rPr>
          <w:sz w:val="26"/>
          <w:szCs w:val="26"/>
        </w:rPr>
        <w:t>5</w:t>
      </w:r>
      <w:r w:rsidR="00AC032B" w:rsidRPr="00855312">
        <w:rPr>
          <w:sz w:val="26"/>
          <w:szCs w:val="26"/>
        </w:rPr>
        <w:t xml:space="preserve">/2019. </w:t>
      </w:r>
    </w:p>
    <w:p w14:paraId="5E18704F" w14:textId="413812BB" w:rsidR="008874A9" w:rsidRPr="00855312" w:rsidRDefault="003048FB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  <w:shd w:val="clear" w:color="auto" w:fill="FFFFFF"/>
        </w:rPr>
        <w:t xml:space="preserve"> </w:t>
      </w:r>
      <w:r w:rsidR="00C03B20" w:rsidRPr="00855312">
        <w:rPr>
          <w:sz w:val="26"/>
          <w:szCs w:val="26"/>
          <w:shd w:val="clear" w:color="auto" w:fill="FFFFFF"/>
        </w:rPr>
        <w:t xml:space="preserve">gem mit </w:t>
      </w:r>
      <w:r w:rsidR="0086174D" w:rsidRPr="00855312">
        <w:rPr>
          <w:sz w:val="26"/>
          <w:szCs w:val="26"/>
        </w:rPr>
        <w:t xml:space="preserve">Ute </w:t>
      </w:r>
      <w:r w:rsidR="0086174D" w:rsidRPr="00855312">
        <w:rPr>
          <w:sz w:val="26"/>
          <w:szCs w:val="26"/>
          <w:shd w:val="clear" w:color="auto" w:fill="FFFFFF"/>
        </w:rPr>
        <w:t>Oelmann</w:t>
      </w:r>
      <w:r w:rsidR="0086174D" w:rsidRPr="00855312">
        <w:rPr>
          <w:sz w:val="26"/>
          <w:szCs w:val="26"/>
        </w:rPr>
        <w:t xml:space="preserve"> (Hrsg.): Stefan George – Ernst Morwitz. Briefwechsel 1905–1933. Herausgegeben, bearbeitet und mit einer Einleitung versehen von Carola Groppe und Ute Oelmann im Auftrag der Stefan George Stiftung. Berlin/Boston</w:t>
      </w:r>
      <w:r w:rsidR="002C0FFD" w:rsidRPr="00855312">
        <w:rPr>
          <w:sz w:val="26"/>
          <w:szCs w:val="26"/>
        </w:rPr>
        <w:t>:</w:t>
      </w:r>
      <w:r w:rsidR="0086174D" w:rsidRPr="00855312">
        <w:rPr>
          <w:sz w:val="26"/>
          <w:szCs w:val="26"/>
        </w:rPr>
        <w:t xml:space="preserve"> de Gruyter 2020 (628 S.)</w:t>
      </w:r>
      <w:r w:rsidR="0095263B" w:rsidRPr="00855312">
        <w:rPr>
          <w:sz w:val="26"/>
          <w:szCs w:val="26"/>
        </w:rPr>
        <w:t>.</w:t>
      </w:r>
    </w:p>
    <w:p w14:paraId="6A997EBB" w14:textId="6D5F7835" w:rsidR="000A52FE" w:rsidRPr="00855312" w:rsidRDefault="00C03B20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rFonts w:cs="Arial"/>
          <w:sz w:val="26"/>
          <w:szCs w:val="26"/>
        </w:rPr>
        <w:lastRenderedPageBreak/>
        <w:t xml:space="preserve">gem. mit Gerhard </w:t>
      </w:r>
      <w:r w:rsidR="000A52FE" w:rsidRPr="00855312">
        <w:rPr>
          <w:rFonts w:cs="Arial"/>
          <w:sz w:val="26"/>
          <w:szCs w:val="26"/>
        </w:rPr>
        <w:t xml:space="preserve">Kluchert, </w:t>
      </w:r>
      <w:r w:rsidRPr="00855312">
        <w:rPr>
          <w:rFonts w:cs="Arial"/>
          <w:sz w:val="26"/>
          <w:szCs w:val="26"/>
        </w:rPr>
        <w:t xml:space="preserve">Klaus-Peter </w:t>
      </w:r>
      <w:r w:rsidR="000A52FE" w:rsidRPr="00855312">
        <w:rPr>
          <w:rFonts w:cs="Arial"/>
          <w:sz w:val="26"/>
          <w:szCs w:val="26"/>
        </w:rPr>
        <w:t xml:space="preserve">Horn, </w:t>
      </w:r>
      <w:r w:rsidRPr="00855312">
        <w:rPr>
          <w:rFonts w:cs="Arial"/>
          <w:sz w:val="26"/>
          <w:szCs w:val="26"/>
        </w:rPr>
        <w:t xml:space="preserve">Marcelo </w:t>
      </w:r>
      <w:r w:rsidR="000A52FE" w:rsidRPr="00855312">
        <w:rPr>
          <w:rFonts w:cs="Arial"/>
          <w:sz w:val="26"/>
          <w:szCs w:val="26"/>
        </w:rPr>
        <w:t xml:space="preserve">Caruso (Hrsg.): Historische Bildungsforschung. Konzepte </w:t>
      </w:r>
      <w:r w:rsidR="000A52FE" w:rsidRPr="00855312">
        <w:rPr>
          <w:rFonts w:ascii="Times New Roman" w:hAnsi="Times New Roman" w:cs="Arial"/>
          <w:szCs w:val="24"/>
        </w:rPr>
        <w:t>–</w:t>
      </w:r>
      <w:r w:rsidR="000A52FE" w:rsidRPr="00855312">
        <w:rPr>
          <w:rFonts w:cs="Arial"/>
          <w:sz w:val="26"/>
          <w:szCs w:val="26"/>
        </w:rPr>
        <w:t xml:space="preserve"> Methoden </w:t>
      </w:r>
      <w:r w:rsidR="000A52FE" w:rsidRPr="00855312">
        <w:rPr>
          <w:rFonts w:ascii="Times New Roman" w:hAnsi="Times New Roman" w:cs="Arial"/>
          <w:szCs w:val="24"/>
        </w:rPr>
        <w:t>–</w:t>
      </w:r>
      <w:r w:rsidR="000A52FE" w:rsidRPr="00855312">
        <w:rPr>
          <w:rFonts w:cs="Arial"/>
          <w:sz w:val="26"/>
          <w:szCs w:val="26"/>
        </w:rPr>
        <w:t xml:space="preserve"> Forschungsfelder. </w:t>
      </w:r>
      <w:r w:rsidR="002C0FFD" w:rsidRPr="00855312">
        <w:rPr>
          <w:rFonts w:cs="Arial"/>
          <w:sz w:val="26"/>
          <w:szCs w:val="26"/>
        </w:rPr>
        <w:t xml:space="preserve">Bad Heilbrunn: </w:t>
      </w:r>
      <w:r w:rsidR="000A52FE" w:rsidRPr="00855312">
        <w:rPr>
          <w:rFonts w:cs="Arial"/>
          <w:sz w:val="26"/>
          <w:szCs w:val="26"/>
        </w:rPr>
        <w:t>Klinkhardt/UTB 2021.</w:t>
      </w:r>
    </w:p>
    <w:p w14:paraId="237CB4DD" w14:textId="53411DFD" w:rsidR="00360114" w:rsidRPr="00855312" w:rsidRDefault="00C03B20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gem. mit </w:t>
      </w:r>
      <w:r w:rsidR="00360114" w:rsidRPr="00855312">
        <w:rPr>
          <w:sz w:val="26"/>
          <w:szCs w:val="26"/>
        </w:rPr>
        <w:t>Georg Eckert</w:t>
      </w:r>
      <w:r w:rsidRPr="00855312">
        <w:rPr>
          <w:sz w:val="26"/>
          <w:szCs w:val="26"/>
        </w:rPr>
        <w:t xml:space="preserve">, </w:t>
      </w:r>
      <w:r w:rsidR="00360114" w:rsidRPr="00855312">
        <w:rPr>
          <w:sz w:val="26"/>
          <w:szCs w:val="26"/>
        </w:rPr>
        <w:t>Ulrike Höroldt (Hrsg.): Preußische Staatsmänner. Herkunft, Erziehung und Ausbildung, Karrieren, Dienstalltag und Weltbilder zwischen 1740 und 1806, Berlin: Duncker &amp; Humblot 2023.</w:t>
      </w:r>
    </w:p>
    <w:p w14:paraId="565A7426" w14:textId="4C42B1F6" w:rsidR="00F76EBF" w:rsidRPr="00855312" w:rsidRDefault="00C03B20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color w:val="000000" w:themeColor="text1"/>
          <w:sz w:val="26"/>
          <w:szCs w:val="26"/>
        </w:rPr>
        <w:t xml:space="preserve">gem. mit </w:t>
      </w:r>
      <w:r w:rsidR="00F76EBF" w:rsidRPr="00855312">
        <w:rPr>
          <w:color w:val="000000" w:themeColor="text1"/>
          <w:sz w:val="26"/>
          <w:szCs w:val="26"/>
        </w:rPr>
        <w:t xml:space="preserve">Daniel Gerster (Hrsg.): </w:t>
      </w:r>
      <w:r w:rsidR="00F76EBF" w:rsidRPr="00855312">
        <w:rPr>
          <w:sz w:val="26"/>
          <w:szCs w:val="26"/>
        </w:rPr>
        <w:t>Schülerinnen- und Schülerleben im 19. und frühen 20. Jahrhundert. Bad Heilbrunn: Klinkhardt 2023.</w:t>
      </w:r>
    </w:p>
    <w:p w14:paraId="4ED7399A" w14:textId="46590EEA" w:rsidR="00490176" w:rsidRPr="00855312" w:rsidRDefault="00490176" w:rsidP="0064487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rFonts w:cs="Arial"/>
          <w:sz w:val="26"/>
          <w:szCs w:val="26"/>
        </w:rPr>
        <w:t xml:space="preserve">gem. mit Edith Glaser, Jürgen Overhoff (Hrsg.): </w:t>
      </w:r>
      <w:r w:rsidRPr="00855312">
        <w:rPr>
          <w:rFonts w:cs="AGaramondPro-Bold"/>
          <w:sz w:val="26"/>
          <w:szCs w:val="26"/>
        </w:rPr>
        <w:t xml:space="preserve">Universitäten und Hochschulen zwischen Beharrung </w:t>
      </w:r>
      <w:r w:rsidRPr="00855312">
        <w:rPr>
          <w:color w:val="000000" w:themeColor="text1"/>
          <w:sz w:val="26"/>
          <w:szCs w:val="26"/>
        </w:rPr>
        <w:t>und</w:t>
      </w:r>
      <w:r w:rsidRPr="00855312">
        <w:rPr>
          <w:rFonts w:cs="AGaramondPro-Bold"/>
          <w:sz w:val="26"/>
          <w:szCs w:val="26"/>
        </w:rPr>
        <w:t xml:space="preserve"> Reform. Bildungshistorische Perspektiven </w:t>
      </w:r>
      <w:r w:rsidRPr="00855312">
        <w:rPr>
          <w:sz w:val="26"/>
          <w:szCs w:val="26"/>
        </w:rPr>
        <w:t>Verlag Julius Klinkhardt, Bad Heilbrunn/Obb</w:t>
      </w:r>
      <w:r w:rsidR="00FC70E6" w:rsidRPr="00855312">
        <w:rPr>
          <w:sz w:val="26"/>
          <w:szCs w:val="26"/>
        </w:rPr>
        <w:t>.</w:t>
      </w:r>
      <w:r w:rsidRPr="00855312">
        <w:rPr>
          <w:sz w:val="26"/>
          <w:szCs w:val="26"/>
        </w:rPr>
        <w:t xml:space="preserve"> 2024</w:t>
      </w:r>
      <w:r w:rsidR="00FC70E6" w:rsidRPr="00855312">
        <w:rPr>
          <w:sz w:val="26"/>
          <w:szCs w:val="26"/>
        </w:rPr>
        <w:t>.</w:t>
      </w:r>
    </w:p>
    <w:p w14:paraId="1D9FCBB0" w14:textId="77777777" w:rsidR="005107B5" w:rsidRPr="00855312" w:rsidRDefault="005107B5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1655ED2A" w14:textId="10612B5B" w:rsidR="003970FE" w:rsidRPr="00855312" w:rsidRDefault="003541E3" w:rsidP="005255E3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>Im Druck</w:t>
      </w:r>
      <w:r w:rsidR="00CC08DC" w:rsidRPr="00855312">
        <w:rPr>
          <w:rFonts w:ascii="Garamond" w:hAnsi="Garamond"/>
          <w:b/>
          <w:sz w:val="26"/>
          <w:szCs w:val="26"/>
        </w:rPr>
        <w:t>:</w:t>
      </w:r>
    </w:p>
    <w:p w14:paraId="787F4401" w14:textId="77777777" w:rsidR="002A3D02" w:rsidRPr="00855312" w:rsidRDefault="002A3D02" w:rsidP="005255E3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0157E94C" w14:textId="2478B8DF" w:rsidR="00FC70E6" w:rsidRPr="00855312" w:rsidRDefault="00FC70E6" w:rsidP="005255E3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  <w:r w:rsidRPr="00855312">
        <w:rPr>
          <w:rFonts w:ascii="Garamond" w:hAnsi="Garamond"/>
          <w:b/>
          <w:sz w:val="26"/>
          <w:szCs w:val="26"/>
        </w:rPr>
        <w:t>Aufsätze:</w:t>
      </w:r>
    </w:p>
    <w:p w14:paraId="172B6463" w14:textId="77777777" w:rsidR="00FC70E6" w:rsidRPr="00855312" w:rsidRDefault="00FC70E6" w:rsidP="005255E3">
      <w:pPr>
        <w:spacing w:line="284" w:lineRule="exact"/>
        <w:jc w:val="both"/>
        <w:rPr>
          <w:rFonts w:ascii="Garamond" w:hAnsi="Garamond"/>
          <w:b/>
          <w:sz w:val="26"/>
          <w:szCs w:val="26"/>
        </w:rPr>
      </w:pPr>
    </w:p>
    <w:p w14:paraId="79783002" w14:textId="69853D03" w:rsidR="005255E3" w:rsidRPr="00855312" w:rsidRDefault="002A3D02" w:rsidP="005255E3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rFonts w:cs="Arial"/>
          <w:sz w:val="26"/>
          <w:szCs w:val="26"/>
        </w:rPr>
        <w:t xml:space="preserve">Jugendliche als </w:t>
      </w:r>
      <w:r w:rsidRPr="00855312">
        <w:rPr>
          <w:color w:val="000000" w:themeColor="text1"/>
          <w:sz w:val="26"/>
          <w:szCs w:val="26"/>
        </w:rPr>
        <w:t>Soldaten</w:t>
      </w:r>
      <w:r w:rsidRPr="00855312">
        <w:rPr>
          <w:rFonts w:cs="Arial"/>
          <w:sz w:val="26"/>
          <w:szCs w:val="26"/>
        </w:rPr>
        <w:t xml:space="preserve"> im Ersten Weltkrieg – Ein Fallbeispiel aus dem Jahr 1917, erscheint in: Jahrbuch für Historische Bildungsforschung 29, 2023.</w:t>
      </w:r>
    </w:p>
    <w:p w14:paraId="76B6F5CA" w14:textId="3D4F45B2" w:rsidR="00FC70E6" w:rsidRPr="00855312" w:rsidRDefault="00134AEA" w:rsidP="00FC70E6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eastAsiaTheme="minorHAnsi"/>
          <w:color w:val="2C363A"/>
          <w:sz w:val="26"/>
          <w:szCs w:val="26"/>
          <w:lang w:eastAsia="en-US"/>
        </w:rPr>
      </w:pPr>
      <w:r w:rsidRPr="00855312">
        <w:rPr>
          <w:sz w:val="26"/>
          <w:szCs w:val="26"/>
        </w:rPr>
        <w:t>Helden des Aufstiegs. Die Karrieren der Finanz- und Agrarreformer Christian Rother (1778–1849) und Christian Friedrich Scharnweber (1770–1822) in den preußischen Reformen</w:t>
      </w:r>
      <w:r w:rsidR="00FC70E6" w:rsidRPr="00855312">
        <w:rPr>
          <w:rFonts w:eastAsiaTheme="minorHAnsi"/>
          <w:color w:val="2C363A"/>
          <w:sz w:val="26"/>
          <w:szCs w:val="26"/>
          <w:lang w:eastAsia="en-US"/>
        </w:rPr>
        <w:t xml:space="preserve">. In: </w:t>
      </w:r>
      <w:r w:rsidR="00FC70E6" w:rsidRPr="00855312">
        <w:rPr>
          <w:sz w:val="26"/>
          <w:szCs w:val="26"/>
        </w:rPr>
        <w:t>Georg Eckert/Carola Groppe/Ulrike Höroldt (Hrsg.):</w:t>
      </w:r>
      <w:r w:rsidRPr="00855312">
        <w:rPr>
          <w:sz w:val="26"/>
          <w:szCs w:val="26"/>
        </w:rPr>
        <w:t xml:space="preserve"> </w:t>
      </w:r>
      <w:r w:rsidR="00FC70E6" w:rsidRPr="00855312">
        <w:rPr>
          <w:rStyle w:val="A4"/>
          <w:b w:val="0"/>
          <w:bCs w:val="0"/>
          <w:sz w:val="26"/>
          <w:szCs w:val="26"/>
        </w:rPr>
        <w:t>Die Helden der Niederlage</w:t>
      </w:r>
      <w:r w:rsidR="00FC70E6" w:rsidRPr="00855312">
        <w:rPr>
          <w:rStyle w:val="A4"/>
          <w:b w:val="0"/>
          <w:bCs w:val="0"/>
          <w:color w:val="auto"/>
          <w:sz w:val="26"/>
          <w:szCs w:val="26"/>
        </w:rPr>
        <w:t xml:space="preserve">. </w:t>
      </w:r>
      <w:r w:rsidR="00FC70E6" w:rsidRPr="00855312">
        <w:rPr>
          <w:rStyle w:val="A5"/>
          <w:b w:val="0"/>
          <w:bCs w:val="0"/>
          <w:sz w:val="26"/>
          <w:szCs w:val="26"/>
        </w:rPr>
        <w:t xml:space="preserve">Zur Formung des „preußischen </w:t>
      </w:r>
      <w:r w:rsidR="00FC70E6" w:rsidRPr="00855312">
        <w:rPr>
          <w:shd w:val="clear" w:color="auto" w:fill="FFFFFF"/>
        </w:rPr>
        <w:t>Staatsmanns</w:t>
      </w:r>
      <w:r w:rsidR="00FC70E6" w:rsidRPr="00855312">
        <w:rPr>
          <w:rStyle w:val="A5"/>
          <w:b w:val="0"/>
          <w:bCs w:val="0"/>
          <w:sz w:val="26"/>
          <w:szCs w:val="26"/>
        </w:rPr>
        <w:t xml:space="preserve">“ – Kontinuitäten und Brüche des Reformzeitalters zwischen 1806 und 1820. </w:t>
      </w:r>
      <w:r w:rsidR="00FC70E6" w:rsidRPr="00855312">
        <w:rPr>
          <w:sz w:val="26"/>
          <w:szCs w:val="26"/>
        </w:rPr>
        <w:t>Berlin: Duncker &amp; Humblot 2024.</w:t>
      </w:r>
    </w:p>
    <w:p w14:paraId="7260FBA4" w14:textId="77777777" w:rsidR="00FC70E6" w:rsidRPr="00855312" w:rsidRDefault="00FC70E6" w:rsidP="00FC70E6">
      <w:pPr>
        <w:pStyle w:val="Textkrper"/>
        <w:spacing w:after="240" w:line="284" w:lineRule="exact"/>
        <w:ind w:left="142"/>
        <w:rPr>
          <w:b/>
          <w:bCs/>
          <w:sz w:val="26"/>
          <w:szCs w:val="26"/>
          <w:shd w:val="clear" w:color="auto" w:fill="FFFFFF"/>
        </w:rPr>
      </w:pPr>
      <w:r w:rsidRPr="00855312">
        <w:rPr>
          <w:b/>
          <w:bCs/>
          <w:sz w:val="26"/>
          <w:szCs w:val="26"/>
          <w:shd w:val="clear" w:color="auto" w:fill="FFFFFF"/>
        </w:rPr>
        <w:t xml:space="preserve">Herausgaben: </w:t>
      </w:r>
    </w:p>
    <w:p w14:paraId="37827E79" w14:textId="41BF531D" w:rsidR="00E269E8" w:rsidRPr="00855312" w:rsidRDefault="00134AEA" w:rsidP="00134AEA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rFonts w:cs="Arial"/>
          <w:sz w:val="26"/>
          <w:szCs w:val="26"/>
        </w:rPr>
      </w:pPr>
      <w:r w:rsidRPr="00855312">
        <w:rPr>
          <w:sz w:val="26"/>
          <w:szCs w:val="26"/>
        </w:rPr>
        <w:t xml:space="preserve">gem. mit </w:t>
      </w:r>
      <w:r w:rsidR="00FC70E6" w:rsidRPr="00855312">
        <w:rPr>
          <w:sz w:val="26"/>
          <w:szCs w:val="26"/>
        </w:rPr>
        <w:t xml:space="preserve">Georg Eckert, Ulrike Höroldt (Hrsg.): </w:t>
      </w:r>
      <w:r w:rsidR="00FC70E6" w:rsidRPr="00855312">
        <w:rPr>
          <w:rStyle w:val="A4"/>
          <w:b w:val="0"/>
          <w:bCs w:val="0"/>
          <w:sz w:val="26"/>
          <w:szCs w:val="26"/>
        </w:rPr>
        <w:t>Die Helden der Niederlage</w:t>
      </w:r>
      <w:r w:rsidR="00FC70E6" w:rsidRPr="00855312">
        <w:rPr>
          <w:rStyle w:val="A4"/>
          <w:b w:val="0"/>
          <w:bCs w:val="0"/>
          <w:color w:val="auto"/>
          <w:sz w:val="26"/>
          <w:szCs w:val="26"/>
        </w:rPr>
        <w:t xml:space="preserve">. </w:t>
      </w:r>
      <w:r w:rsidR="00FC70E6" w:rsidRPr="00855312">
        <w:rPr>
          <w:rStyle w:val="A5"/>
          <w:b w:val="0"/>
          <w:bCs w:val="0"/>
          <w:sz w:val="26"/>
          <w:szCs w:val="26"/>
        </w:rPr>
        <w:t xml:space="preserve">Zur Formung des „preußischen </w:t>
      </w:r>
      <w:r w:rsidR="00FC70E6" w:rsidRPr="00855312">
        <w:rPr>
          <w:shd w:val="clear" w:color="auto" w:fill="FFFFFF"/>
        </w:rPr>
        <w:t>Staatsmanns</w:t>
      </w:r>
      <w:r w:rsidR="00FC70E6" w:rsidRPr="00855312">
        <w:rPr>
          <w:rStyle w:val="A5"/>
          <w:b w:val="0"/>
          <w:bCs w:val="0"/>
          <w:sz w:val="26"/>
          <w:szCs w:val="26"/>
        </w:rPr>
        <w:t xml:space="preserve">“ – Kontinuitäten und Brüche des Reformzeitalters zwischen 1806 und 1820. </w:t>
      </w:r>
      <w:r w:rsidR="00FC70E6" w:rsidRPr="00855312">
        <w:rPr>
          <w:sz w:val="26"/>
          <w:szCs w:val="26"/>
        </w:rPr>
        <w:t>Berlin: Duncker &amp; Humblot 2024</w:t>
      </w:r>
      <w:r w:rsidRPr="00855312">
        <w:rPr>
          <w:sz w:val="26"/>
          <w:szCs w:val="26"/>
        </w:rPr>
        <w:t>.</w:t>
      </w:r>
    </w:p>
    <w:p w14:paraId="149FD3B6" w14:textId="77777777" w:rsidR="00CC08DC" w:rsidRPr="00855312" w:rsidRDefault="00E26A0B">
      <w:pPr>
        <w:pStyle w:val="Textkrper"/>
        <w:spacing w:after="240" w:line="284" w:lineRule="exact"/>
        <w:rPr>
          <w:b/>
          <w:sz w:val="26"/>
          <w:szCs w:val="26"/>
        </w:rPr>
      </w:pPr>
      <w:r w:rsidRPr="00855312">
        <w:rPr>
          <w:b/>
          <w:sz w:val="26"/>
          <w:szCs w:val="26"/>
        </w:rPr>
        <w:t>I</w:t>
      </w:r>
      <w:r w:rsidR="00CC08DC" w:rsidRPr="00855312">
        <w:rPr>
          <w:b/>
          <w:sz w:val="26"/>
          <w:szCs w:val="26"/>
        </w:rPr>
        <w:t xml:space="preserve">n Vorbereitung </w:t>
      </w:r>
    </w:p>
    <w:p w14:paraId="5289BA84" w14:textId="77777777" w:rsidR="00785717" w:rsidRPr="00855312" w:rsidRDefault="00E26A0B">
      <w:pPr>
        <w:pStyle w:val="Textkrper"/>
        <w:spacing w:after="240" w:line="284" w:lineRule="exact"/>
        <w:rPr>
          <w:b/>
          <w:sz w:val="26"/>
          <w:szCs w:val="26"/>
        </w:rPr>
      </w:pPr>
      <w:r w:rsidRPr="00855312">
        <w:rPr>
          <w:b/>
          <w:sz w:val="26"/>
          <w:szCs w:val="26"/>
        </w:rPr>
        <w:t>Monographien</w:t>
      </w:r>
      <w:r w:rsidR="00785717" w:rsidRPr="00855312">
        <w:rPr>
          <w:b/>
          <w:sz w:val="26"/>
          <w:szCs w:val="26"/>
        </w:rPr>
        <w:t xml:space="preserve">: </w:t>
      </w:r>
    </w:p>
    <w:p w14:paraId="08C54C26" w14:textId="6BC9BAC6" w:rsidR="00186A76" w:rsidRPr="00855312" w:rsidRDefault="00245448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 xml:space="preserve"> Die </w:t>
      </w:r>
      <w:r w:rsidR="00C03B20" w:rsidRPr="00855312">
        <w:rPr>
          <w:sz w:val="26"/>
          <w:szCs w:val="26"/>
        </w:rPr>
        <w:t>p</w:t>
      </w:r>
      <w:r w:rsidRPr="00855312">
        <w:rPr>
          <w:sz w:val="26"/>
          <w:szCs w:val="26"/>
        </w:rPr>
        <w:t xml:space="preserve">reußischen Reformer. Eine </w:t>
      </w:r>
      <w:r w:rsidR="006E3359" w:rsidRPr="00855312">
        <w:rPr>
          <w:sz w:val="26"/>
          <w:szCs w:val="26"/>
        </w:rPr>
        <w:t xml:space="preserve">kollektive </w:t>
      </w:r>
      <w:r w:rsidRPr="00855312">
        <w:rPr>
          <w:sz w:val="26"/>
          <w:szCs w:val="26"/>
        </w:rPr>
        <w:t>Bildungsgeschichte</w:t>
      </w:r>
      <w:r w:rsidR="006E3359" w:rsidRPr="00855312">
        <w:rPr>
          <w:sz w:val="26"/>
          <w:szCs w:val="26"/>
        </w:rPr>
        <w:t>, 20</w:t>
      </w:r>
      <w:r w:rsidR="00B92106" w:rsidRPr="00855312">
        <w:rPr>
          <w:sz w:val="26"/>
          <w:szCs w:val="26"/>
        </w:rPr>
        <w:t>25</w:t>
      </w:r>
      <w:r w:rsidR="00173BBB" w:rsidRPr="00855312">
        <w:rPr>
          <w:sz w:val="26"/>
          <w:szCs w:val="26"/>
        </w:rPr>
        <w:t>.</w:t>
      </w:r>
      <w:r w:rsidR="006E3359" w:rsidRPr="00855312">
        <w:rPr>
          <w:sz w:val="26"/>
          <w:szCs w:val="26"/>
        </w:rPr>
        <w:t xml:space="preserve"> </w:t>
      </w:r>
    </w:p>
    <w:p w14:paraId="6AC084B9" w14:textId="25EA0761" w:rsidR="002C0FFD" w:rsidRPr="00855312" w:rsidRDefault="00F00E39" w:rsidP="003048FB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  <w:shd w:val="clear" w:color="auto" w:fill="FFFFFF"/>
        </w:rPr>
        <w:t xml:space="preserve">gem. mit </w:t>
      </w:r>
      <w:r w:rsidR="002C0FFD" w:rsidRPr="00855312">
        <w:rPr>
          <w:sz w:val="26"/>
          <w:szCs w:val="26"/>
          <w:shd w:val="clear" w:color="auto" w:fill="FFFFFF"/>
        </w:rPr>
        <w:t>Dennis Mathie: Schülerpensionen und Schülerverbindungen im 19. und 20. Jahrhundert</w:t>
      </w:r>
      <w:r w:rsidRPr="00855312">
        <w:rPr>
          <w:sz w:val="26"/>
          <w:szCs w:val="26"/>
          <w:shd w:val="clear" w:color="auto" w:fill="FFFFFF"/>
        </w:rPr>
        <w:t>, 2024</w:t>
      </w:r>
      <w:r w:rsidR="00AD474E" w:rsidRPr="00855312">
        <w:rPr>
          <w:sz w:val="26"/>
          <w:szCs w:val="26"/>
          <w:shd w:val="clear" w:color="auto" w:fill="FFFFFF"/>
        </w:rPr>
        <w:t>.</w:t>
      </w:r>
    </w:p>
    <w:p w14:paraId="726413D2" w14:textId="09757E68" w:rsidR="00F00E39" w:rsidRPr="00855312" w:rsidRDefault="00F00E39" w:rsidP="00F00E39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t>gem. mit Morvarid</w:t>
      </w:r>
      <w:r w:rsidRPr="00855312">
        <w:rPr>
          <w:sz w:val="26"/>
          <w:szCs w:val="26"/>
          <w:shd w:val="clear" w:color="auto" w:fill="FFFFFF"/>
        </w:rPr>
        <w:t xml:space="preserve"> Dehnavi, Timm Gerd Hellmanzik, Dennis Mathie: Historische Sozialisationsforschung. </w:t>
      </w:r>
      <w:r w:rsidR="00DE4D59" w:rsidRPr="00855312">
        <w:rPr>
          <w:sz w:val="26"/>
          <w:szCs w:val="26"/>
          <w:shd w:val="clear" w:color="auto" w:fill="FFFFFF"/>
        </w:rPr>
        <w:t xml:space="preserve">Ein </w:t>
      </w:r>
      <w:r w:rsidRPr="00855312">
        <w:rPr>
          <w:sz w:val="26"/>
          <w:szCs w:val="26"/>
          <w:shd w:val="clear" w:color="auto" w:fill="FFFFFF"/>
        </w:rPr>
        <w:t xml:space="preserve">Vorschlag für </w:t>
      </w:r>
      <w:r w:rsidR="00FC70E6" w:rsidRPr="00855312">
        <w:rPr>
          <w:sz w:val="26"/>
          <w:szCs w:val="26"/>
          <w:shd w:val="clear" w:color="auto" w:fill="FFFFFF"/>
        </w:rPr>
        <w:t>die Forschungspraxis</w:t>
      </w:r>
      <w:r w:rsidRPr="00855312">
        <w:rPr>
          <w:sz w:val="26"/>
          <w:szCs w:val="26"/>
          <w:shd w:val="clear" w:color="auto" w:fill="FFFFFF"/>
        </w:rPr>
        <w:t>, 202</w:t>
      </w:r>
      <w:r w:rsidR="00DE4D59" w:rsidRPr="00855312">
        <w:rPr>
          <w:sz w:val="26"/>
          <w:szCs w:val="26"/>
          <w:shd w:val="clear" w:color="auto" w:fill="FFFFFF"/>
        </w:rPr>
        <w:t>4</w:t>
      </w:r>
      <w:r w:rsidR="00AD474E" w:rsidRPr="00855312">
        <w:rPr>
          <w:sz w:val="26"/>
          <w:szCs w:val="26"/>
          <w:shd w:val="clear" w:color="auto" w:fill="FFFFFF"/>
        </w:rPr>
        <w:t>.</w:t>
      </w:r>
      <w:r w:rsidRPr="00855312">
        <w:rPr>
          <w:sz w:val="26"/>
          <w:szCs w:val="26"/>
          <w:shd w:val="clear" w:color="auto" w:fill="FFFFFF"/>
        </w:rPr>
        <w:t xml:space="preserve"> </w:t>
      </w:r>
    </w:p>
    <w:p w14:paraId="2EFD9D86" w14:textId="1615C591" w:rsidR="00DE4D59" w:rsidRPr="00855312" w:rsidRDefault="00DE4D59" w:rsidP="00DE4D59">
      <w:pPr>
        <w:pStyle w:val="Textkrper"/>
        <w:spacing w:after="240" w:line="284" w:lineRule="exact"/>
        <w:rPr>
          <w:b/>
          <w:bCs/>
          <w:sz w:val="26"/>
          <w:szCs w:val="26"/>
          <w:shd w:val="clear" w:color="auto" w:fill="FFFFFF"/>
        </w:rPr>
      </w:pPr>
      <w:r w:rsidRPr="00855312">
        <w:rPr>
          <w:b/>
          <w:bCs/>
          <w:sz w:val="26"/>
          <w:szCs w:val="26"/>
          <w:shd w:val="clear" w:color="auto" w:fill="FFFFFF"/>
        </w:rPr>
        <w:t xml:space="preserve">Herausgaben: </w:t>
      </w:r>
    </w:p>
    <w:p w14:paraId="126B2DEE" w14:textId="0BFF5455" w:rsidR="00DE4D59" w:rsidRPr="00855312" w:rsidRDefault="00134AEA" w:rsidP="00DE4D59">
      <w:pPr>
        <w:pStyle w:val="Textkrper"/>
        <w:spacing w:after="240" w:line="284" w:lineRule="exact"/>
        <w:rPr>
          <w:b/>
          <w:sz w:val="26"/>
          <w:szCs w:val="26"/>
        </w:rPr>
      </w:pPr>
      <w:r w:rsidRPr="00855312">
        <w:rPr>
          <w:b/>
          <w:sz w:val="26"/>
          <w:szCs w:val="26"/>
        </w:rPr>
        <w:t>Aufsätze:</w:t>
      </w:r>
    </w:p>
    <w:p w14:paraId="62455E72" w14:textId="034A3E6E" w:rsidR="00AB1F66" w:rsidRPr="00855312" w:rsidRDefault="00AB1F66" w:rsidP="00F00E39">
      <w:pPr>
        <w:pStyle w:val="Textkrper"/>
        <w:numPr>
          <w:ilvl w:val="0"/>
          <w:numId w:val="22"/>
        </w:numPr>
        <w:spacing w:after="240" w:line="284" w:lineRule="exact"/>
        <w:ind w:left="284" w:hanging="284"/>
        <w:rPr>
          <w:sz w:val="26"/>
          <w:szCs w:val="26"/>
        </w:rPr>
      </w:pPr>
      <w:r w:rsidRPr="00855312">
        <w:rPr>
          <w:sz w:val="26"/>
          <w:szCs w:val="26"/>
        </w:rPr>
        <w:lastRenderedPageBreak/>
        <w:t>gem. mit Timm Gerd Hellmanzik: Fünf junge Offiziere der preußischen Reformzeit. Eine vergleichende historische Sozialisationsstudie</w:t>
      </w:r>
      <w:r w:rsidR="00AD474E" w:rsidRPr="00855312">
        <w:rPr>
          <w:sz w:val="26"/>
          <w:szCs w:val="26"/>
        </w:rPr>
        <w:t xml:space="preserve"> – Peter Paret revisited</w:t>
      </w:r>
      <w:r w:rsidR="00B92106" w:rsidRPr="00855312">
        <w:rPr>
          <w:sz w:val="26"/>
          <w:szCs w:val="26"/>
        </w:rPr>
        <w:t>, 2024</w:t>
      </w:r>
      <w:r w:rsidR="00AD474E" w:rsidRPr="00855312">
        <w:rPr>
          <w:sz w:val="26"/>
          <w:szCs w:val="26"/>
        </w:rPr>
        <w:t>.</w:t>
      </w:r>
    </w:p>
    <w:sectPr w:rsidR="00AB1F66" w:rsidRPr="00855312">
      <w:headerReference w:type="even" r:id="rId9"/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08E6" w14:textId="77777777" w:rsidR="00EB6585" w:rsidRDefault="00EB6585">
      <w:r>
        <w:separator/>
      </w:r>
    </w:p>
  </w:endnote>
  <w:endnote w:type="continuationSeparator" w:id="0">
    <w:p w14:paraId="59A35DB9" w14:textId="77777777" w:rsidR="00EB6585" w:rsidRDefault="00E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TT5843c5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0EDE" w14:textId="77777777" w:rsidR="00EB6585" w:rsidRDefault="00EB6585">
      <w:r>
        <w:separator/>
      </w:r>
    </w:p>
  </w:footnote>
  <w:footnote w:type="continuationSeparator" w:id="0">
    <w:p w14:paraId="1A2588FE" w14:textId="77777777" w:rsidR="00EB6585" w:rsidRDefault="00EB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4A0" w14:textId="77777777" w:rsidR="00F6304D" w:rsidRDefault="00F6304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FF49093" w14:textId="77777777" w:rsidR="00F6304D" w:rsidRDefault="00F6304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997F" w14:textId="6C13A7F5" w:rsidR="00F6304D" w:rsidRDefault="00F6304D">
    <w:pPr>
      <w:pStyle w:val="Kopfzeile"/>
      <w:framePr w:wrap="around" w:vAnchor="text" w:hAnchor="margin" w:xAlign="right" w:y="1"/>
      <w:rPr>
        <w:rStyle w:val="Seitenzahl"/>
        <w:rFonts w:ascii="CG Times (W1)" w:hAnsi="CG Times (W1)"/>
        <w:sz w:val="24"/>
      </w:rPr>
    </w:pPr>
    <w:r>
      <w:rPr>
        <w:rStyle w:val="Seitenzahl"/>
        <w:rFonts w:ascii="CG Times (W1)" w:hAnsi="CG Times (W1)"/>
        <w:sz w:val="24"/>
      </w:rPr>
      <w:fldChar w:fldCharType="begin"/>
    </w:r>
    <w:r>
      <w:rPr>
        <w:rStyle w:val="Seitenzahl"/>
        <w:rFonts w:ascii="CG Times (W1)" w:hAnsi="CG Times (W1)"/>
        <w:sz w:val="24"/>
      </w:rPr>
      <w:instrText xml:space="preserve">PAGE  </w:instrText>
    </w:r>
    <w:r>
      <w:rPr>
        <w:rStyle w:val="Seitenzahl"/>
        <w:rFonts w:ascii="CG Times (W1)" w:hAnsi="CG Times (W1)"/>
        <w:sz w:val="24"/>
      </w:rPr>
      <w:fldChar w:fldCharType="separate"/>
    </w:r>
    <w:r w:rsidR="00583B99">
      <w:rPr>
        <w:rStyle w:val="Seitenzahl"/>
        <w:rFonts w:ascii="CG Times (W1)" w:hAnsi="CG Times (W1)"/>
        <w:noProof/>
        <w:sz w:val="24"/>
      </w:rPr>
      <w:t>9</w:t>
    </w:r>
    <w:r>
      <w:rPr>
        <w:rStyle w:val="Seitenzahl"/>
        <w:rFonts w:ascii="CG Times (W1)" w:hAnsi="CG Times (W1)"/>
        <w:sz w:val="24"/>
      </w:rPr>
      <w:fldChar w:fldCharType="end"/>
    </w:r>
  </w:p>
  <w:p w14:paraId="259C5316" w14:textId="77777777" w:rsidR="00F6304D" w:rsidRDefault="00F6304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C8"/>
    <w:multiLevelType w:val="singleLevel"/>
    <w:tmpl w:val="8376E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2258B2"/>
    <w:multiLevelType w:val="singleLevel"/>
    <w:tmpl w:val="8376E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3334BD"/>
    <w:multiLevelType w:val="singleLevel"/>
    <w:tmpl w:val="ABB83CE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3" w15:restartNumberingAfterBreak="0">
    <w:nsid w:val="01CF7F7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FF04A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F05BF"/>
    <w:multiLevelType w:val="hybridMultilevel"/>
    <w:tmpl w:val="609A8890"/>
    <w:lvl w:ilvl="0" w:tplc="DBB8D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552C"/>
    <w:multiLevelType w:val="singleLevel"/>
    <w:tmpl w:val="A3F68F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2D446B"/>
    <w:multiLevelType w:val="hybridMultilevel"/>
    <w:tmpl w:val="F91420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B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2E08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8A49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1A06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6D6B0A"/>
    <w:multiLevelType w:val="hybridMultilevel"/>
    <w:tmpl w:val="48D0BF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65C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233B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326E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825B9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F6D20BF"/>
    <w:multiLevelType w:val="singleLevel"/>
    <w:tmpl w:val="ABB83CE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8" w15:restartNumberingAfterBreak="0">
    <w:nsid w:val="62AF15AD"/>
    <w:multiLevelType w:val="singleLevel"/>
    <w:tmpl w:val="8376E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2D53F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282F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FB2E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77484A"/>
    <w:multiLevelType w:val="singleLevel"/>
    <w:tmpl w:val="8376E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AFF06B4"/>
    <w:multiLevelType w:val="singleLevel"/>
    <w:tmpl w:val="893C4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21F5E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EDE556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0343199">
    <w:abstractNumId w:val="6"/>
  </w:num>
  <w:num w:numId="2" w16cid:durableId="156500672">
    <w:abstractNumId w:val="18"/>
  </w:num>
  <w:num w:numId="3" w16cid:durableId="116779005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7563525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78650387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58244893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33464993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88344170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766117942">
    <w:abstractNumId w:val="23"/>
  </w:num>
  <w:num w:numId="10" w16cid:durableId="45063605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21851947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74676099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180437969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55958498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1151441">
    <w:abstractNumId w:val="8"/>
  </w:num>
  <w:num w:numId="16" w16cid:durableId="1410008009">
    <w:abstractNumId w:val="10"/>
  </w:num>
  <w:num w:numId="17" w16cid:durableId="1958173505">
    <w:abstractNumId w:val="4"/>
  </w:num>
  <w:num w:numId="18" w16cid:durableId="1937983959">
    <w:abstractNumId w:val="24"/>
  </w:num>
  <w:num w:numId="19" w16cid:durableId="499661698">
    <w:abstractNumId w:val="22"/>
  </w:num>
  <w:num w:numId="20" w16cid:durableId="413478895">
    <w:abstractNumId w:val="1"/>
  </w:num>
  <w:num w:numId="21" w16cid:durableId="425424175">
    <w:abstractNumId w:val="0"/>
  </w:num>
  <w:num w:numId="22" w16cid:durableId="1792017389">
    <w:abstractNumId w:val="2"/>
  </w:num>
  <w:num w:numId="23" w16cid:durableId="1662389416">
    <w:abstractNumId w:val="25"/>
  </w:num>
  <w:num w:numId="24" w16cid:durableId="805203054">
    <w:abstractNumId w:val="15"/>
  </w:num>
  <w:num w:numId="25" w16cid:durableId="1311715622">
    <w:abstractNumId w:val="20"/>
  </w:num>
  <w:num w:numId="26" w16cid:durableId="681861682">
    <w:abstractNumId w:val="19"/>
  </w:num>
  <w:num w:numId="27" w16cid:durableId="1356226814">
    <w:abstractNumId w:val="11"/>
  </w:num>
  <w:num w:numId="28" w16cid:durableId="1449156666">
    <w:abstractNumId w:val="9"/>
  </w:num>
  <w:num w:numId="29" w16cid:durableId="2140800635">
    <w:abstractNumId w:val="3"/>
  </w:num>
  <w:num w:numId="30" w16cid:durableId="1228298578">
    <w:abstractNumId w:val="14"/>
  </w:num>
  <w:num w:numId="31" w16cid:durableId="202986946">
    <w:abstractNumId w:val="16"/>
  </w:num>
  <w:num w:numId="32" w16cid:durableId="685131902">
    <w:abstractNumId w:val="13"/>
  </w:num>
  <w:num w:numId="33" w16cid:durableId="1680154293">
    <w:abstractNumId w:val="21"/>
  </w:num>
  <w:num w:numId="34" w16cid:durableId="691566571">
    <w:abstractNumId w:val="7"/>
  </w:num>
  <w:num w:numId="35" w16cid:durableId="825972392">
    <w:abstractNumId w:val="12"/>
  </w:num>
  <w:num w:numId="36" w16cid:durableId="1428504054">
    <w:abstractNumId w:val="5"/>
  </w:num>
  <w:num w:numId="37" w16cid:durableId="1304391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3A"/>
    <w:rsid w:val="00004E57"/>
    <w:rsid w:val="0000561F"/>
    <w:rsid w:val="000067A8"/>
    <w:rsid w:val="0000770A"/>
    <w:rsid w:val="00015824"/>
    <w:rsid w:val="000233A3"/>
    <w:rsid w:val="00023533"/>
    <w:rsid w:val="00024C7A"/>
    <w:rsid w:val="000271F8"/>
    <w:rsid w:val="00035E74"/>
    <w:rsid w:val="0003770F"/>
    <w:rsid w:val="00037E6D"/>
    <w:rsid w:val="00046281"/>
    <w:rsid w:val="000469F6"/>
    <w:rsid w:val="00052F57"/>
    <w:rsid w:val="0005598D"/>
    <w:rsid w:val="0006360B"/>
    <w:rsid w:val="00064263"/>
    <w:rsid w:val="00070529"/>
    <w:rsid w:val="000727A5"/>
    <w:rsid w:val="000777AB"/>
    <w:rsid w:val="00077FB7"/>
    <w:rsid w:val="000830A5"/>
    <w:rsid w:val="00084CCA"/>
    <w:rsid w:val="00084DBB"/>
    <w:rsid w:val="00085F9B"/>
    <w:rsid w:val="000870F3"/>
    <w:rsid w:val="00094B34"/>
    <w:rsid w:val="000955AA"/>
    <w:rsid w:val="000A2E16"/>
    <w:rsid w:val="000A44F0"/>
    <w:rsid w:val="000A52FE"/>
    <w:rsid w:val="000A7D81"/>
    <w:rsid w:val="000B153C"/>
    <w:rsid w:val="000B69F1"/>
    <w:rsid w:val="000C66E7"/>
    <w:rsid w:val="000E3F4A"/>
    <w:rsid w:val="000E56C5"/>
    <w:rsid w:val="00104890"/>
    <w:rsid w:val="00113D40"/>
    <w:rsid w:val="00121636"/>
    <w:rsid w:val="00122994"/>
    <w:rsid w:val="00127F08"/>
    <w:rsid w:val="00134AEA"/>
    <w:rsid w:val="00135B1B"/>
    <w:rsid w:val="00136C2B"/>
    <w:rsid w:val="001437CB"/>
    <w:rsid w:val="00144508"/>
    <w:rsid w:val="00144EFC"/>
    <w:rsid w:val="00147B35"/>
    <w:rsid w:val="00154661"/>
    <w:rsid w:val="00157EEE"/>
    <w:rsid w:val="001619EF"/>
    <w:rsid w:val="0016608B"/>
    <w:rsid w:val="00166A15"/>
    <w:rsid w:val="001671D9"/>
    <w:rsid w:val="00173BBB"/>
    <w:rsid w:val="00175DED"/>
    <w:rsid w:val="00182FD6"/>
    <w:rsid w:val="0018467B"/>
    <w:rsid w:val="00186A76"/>
    <w:rsid w:val="00194450"/>
    <w:rsid w:val="00195246"/>
    <w:rsid w:val="0019585C"/>
    <w:rsid w:val="001A3B82"/>
    <w:rsid w:val="001B18EC"/>
    <w:rsid w:val="001B25FB"/>
    <w:rsid w:val="001B3FBF"/>
    <w:rsid w:val="001C5D6F"/>
    <w:rsid w:val="001E0C6D"/>
    <w:rsid w:val="001E101D"/>
    <w:rsid w:val="001E30E8"/>
    <w:rsid w:val="001E59C9"/>
    <w:rsid w:val="001F65C7"/>
    <w:rsid w:val="0020012A"/>
    <w:rsid w:val="002014A3"/>
    <w:rsid w:val="002105A2"/>
    <w:rsid w:val="002120AB"/>
    <w:rsid w:val="00221FA3"/>
    <w:rsid w:val="00226B99"/>
    <w:rsid w:val="00230F65"/>
    <w:rsid w:val="00245448"/>
    <w:rsid w:val="00254089"/>
    <w:rsid w:val="00257CC9"/>
    <w:rsid w:val="00260567"/>
    <w:rsid w:val="00262E8B"/>
    <w:rsid w:val="0027065E"/>
    <w:rsid w:val="00290BFD"/>
    <w:rsid w:val="00292635"/>
    <w:rsid w:val="002945A9"/>
    <w:rsid w:val="002A3D02"/>
    <w:rsid w:val="002A562C"/>
    <w:rsid w:val="002B216C"/>
    <w:rsid w:val="002C0FFD"/>
    <w:rsid w:val="002C632A"/>
    <w:rsid w:val="002C7961"/>
    <w:rsid w:val="002E1936"/>
    <w:rsid w:val="002E4571"/>
    <w:rsid w:val="002E62EB"/>
    <w:rsid w:val="002E7496"/>
    <w:rsid w:val="002E7E2A"/>
    <w:rsid w:val="002F2927"/>
    <w:rsid w:val="002F6C79"/>
    <w:rsid w:val="003048FB"/>
    <w:rsid w:val="00306CDB"/>
    <w:rsid w:val="00314AC3"/>
    <w:rsid w:val="003205CF"/>
    <w:rsid w:val="0032314F"/>
    <w:rsid w:val="00334707"/>
    <w:rsid w:val="0033470D"/>
    <w:rsid w:val="00335260"/>
    <w:rsid w:val="003541E3"/>
    <w:rsid w:val="00360114"/>
    <w:rsid w:val="003622AC"/>
    <w:rsid w:val="003643B4"/>
    <w:rsid w:val="00375523"/>
    <w:rsid w:val="00381838"/>
    <w:rsid w:val="003970FE"/>
    <w:rsid w:val="003974C6"/>
    <w:rsid w:val="003A3926"/>
    <w:rsid w:val="003A5750"/>
    <w:rsid w:val="003B3B12"/>
    <w:rsid w:val="003B4BDA"/>
    <w:rsid w:val="003C0B80"/>
    <w:rsid w:val="003D0113"/>
    <w:rsid w:val="003D09CB"/>
    <w:rsid w:val="003D6C3A"/>
    <w:rsid w:val="003D7E97"/>
    <w:rsid w:val="003E165D"/>
    <w:rsid w:val="003E1A9D"/>
    <w:rsid w:val="003E1D6F"/>
    <w:rsid w:val="003E3DC6"/>
    <w:rsid w:val="00402848"/>
    <w:rsid w:val="004240C8"/>
    <w:rsid w:val="00430BB6"/>
    <w:rsid w:val="00432C03"/>
    <w:rsid w:val="00437BD2"/>
    <w:rsid w:val="00437E37"/>
    <w:rsid w:val="00440DEE"/>
    <w:rsid w:val="004637B9"/>
    <w:rsid w:val="004659B6"/>
    <w:rsid w:val="004708E4"/>
    <w:rsid w:val="00473803"/>
    <w:rsid w:val="00473FA9"/>
    <w:rsid w:val="00480A41"/>
    <w:rsid w:val="00482875"/>
    <w:rsid w:val="00487DD6"/>
    <w:rsid w:val="00490176"/>
    <w:rsid w:val="00491DD1"/>
    <w:rsid w:val="00496211"/>
    <w:rsid w:val="00497678"/>
    <w:rsid w:val="004A27A4"/>
    <w:rsid w:val="004A2E9B"/>
    <w:rsid w:val="004C00E5"/>
    <w:rsid w:val="004C120B"/>
    <w:rsid w:val="004C3649"/>
    <w:rsid w:val="004C47A9"/>
    <w:rsid w:val="004C63F6"/>
    <w:rsid w:val="004D5FF5"/>
    <w:rsid w:val="004F1A01"/>
    <w:rsid w:val="004F71E0"/>
    <w:rsid w:val="0050042B"/>
    <w:rsid w:val="00500EE3"/>
    <w:rsid w:val="005107B5"/>
    <w:rsid w:val="00515CE0"/>
    <w:rsid w:val="00515D37"/>
    <w:rsid w:val="0051690D"/>
    <w:rsid w:val="005202A1"/>
    <w:rsid w:val="00522AA4"/>
    <w:rsid w:val="00523517"/>
    <w:rsid w:val="005255E3"/>
    <w:rsid w:val="00525EB5"/>
    <w:rsid w:val="005339DC"/>
    <w:rsid w:val="00536193"/>
    <w:rsid w:val="00537056"/>
    <w:rsid w:val="00544B6B"/>
    <w:rsid w:val="00556C0B"/>
    <w:rsid w:val="00561593"/>
    <w:rsid w:val="00561E0B"/>
    <w:rsid w:val="0056535A"/>
    <w:rsid w:val="0056639D"/>
    <w:rsid w:val="00583110"/>
    <w:rsid w:val="00583B99"/>
    <w:rsid w:val="0059288A"/>
    <w:rsid w:val="005971B1"/>
    <w:rsid w:val="005A3A7E"/>
    <w:rsid w:val="005A6E20"/>
    <w:rsid w:val="005D0901"/>
    <w:rsid w:val="005E0BF4"/>
    <w:rsid w:val="005E1947"/>
    <w:rsid w:val="005E502F"/>
    <w:rsid w:val="00605577"/>
    <w:rsid w:val="00605D85"/>
    <w:rsid w:val="00612CB7"/>
    <w:rsid w:val="00614877"/>
    <w:rsid w:val="00614DAB"/>
    <w:rsid w:val="0062149C"/>
    <w:rsid w:val="0063353C"/>
    <w:rsid w:val="0064487B"/>
    <w:rsid w:val="00645D06"/>
    <w:rsid w:val="00647BA3"/>
    <w:rsid w:val="00652D5D"/>
    <w:rsid w:val="00662E2C"/>
    <w:rsid w:val="0067361F"/>
    <w:rsid w:val="006775D8"/>
    <w:rsid w:val="006901CD"/>
    <w:rsid w:val="0069147E"/>
    <w:rsid w:val="00697DE9"/>
    <w:rsid w:val="006A459F"/>
    <w:rsid w:val="006B267A"/>
    <w:rsid w:val="006B4081"/>
    <w:rsid w:val="006B5315"/>
    <w:rsid w:val="006C6DD7"/>
    <w:rsid w:val="006D2572"/>
    <w:rsid w:val="006D3A58"/>
    <w:rsid w:val="006D5EF5"/>
    <w:rsid w:val="006E297E"/>
    <w:rsid w:val="006E3359"/>
    <w:rsid w:val="006E7F84"/>
    <w:rsid w:val="006F6010"/>
    <w:rsid w:val="0070018C"/>
    <w:rsid w:val="007021DF"/>
    <w:rsid w:val="00703952"/>
    <w:rsid w:val="00716268"/>
    <w:rsid w:val="00716DD1"/>
    <w:rsid w:val="00725465"/>
    <w:rsid w:val="00741DFA"/>
    <w:rsid w:val="00752B34"/>
    <w:rsid w:val="00755047"/>
    <w:rsid w:val="0075782A"/>
    <w:rsid w:val="007645C7"/>
    <w:rsid w:val="00766E43"/>
    <w:rsid w:val="007672B3"/>
    <w:rsid w:val="00771764"/>
    <w:rsid w:val="007755F3"/>
    <w:rsid w:val="00780B4E"/>
    <w:rsid w:val="00781962"/>
    <w:rsid w:val="00785717"/>
    <w:rsid w:val="00792BC5"/>
    <w:rsid w:val="007958BA"/>
    <w:rsid w:val="007978C7"/>
    <w:rsid w:val="007B5DFA"/>
    <w:rsid w:val="007C1237"/>
    <w:rsid w:val="007C47FF"/>
    <w:rsid w:val="007D0121"/>
    <w:rsid w:val="007D2AEE"/>
    <w:rsid w:val="007D3B98"/>
    <w:rsid w:val="007E5CBE"/>
    <w:rsid w:val="007F379E"/>
    <w:rsid w:val="007F4913"/>
    <w:rsid w:val="007F57F6"/>
    <w:rsid w:val="00801D06"/>
    <w:rsid w:val="0081239E"/>
    <w:rsid w:val="00812A9D"/>
    <w:rsid w:val="0081394C"/>
    <w:rsid w:val="00814713"/>
    <w:rsid w:val="00815622"/>
    <w:rsid w:val="00821DF0"/>
    <w:rsid w:val="00823BCF"/>
    <w:rsid w:val="00823DA5"/>
    <w:rsid w:val="00830828"/>
    <w:rsid w:val="00830E6D"/>
    <w:rsid w:val="00833D5C"/>
    <w:rsid w:val="00854966"/>
    <w:rsid w:val="00855312"/>
    <w:rsid w:val="0085553C"/>
    <w:rsid w:val="0086174D"/>
    <w:rsid w:val="008617AA"/>
    <w:rsid w:val="008655D6"/>
    <w:rsid w:val="00867E85"/>
    <w:rsid w:val="008709EF"/>
    <w:rsid w:val="00872430"/>
    <w:rsid w:val="008741DB"/>
    <w:rsid w:val="00876FDF"/>
    <w:rsid w:val="0088503A"/>
    <w:rsid w:val="00886612"/>
    <w:rsid w:val="008874A9"/>
    <w:rsid w:val="008919F1"/>
    <w:rsid w:val="008929F4"/>
    <w:rsid w:val="00892EAF"/>
    <w:rsid w:val="008960ED"/>
    <w:rsid w:val="008A4381"/>
    <w:rsid w:val="008A6540"/>
    <w:rsid w:val="008B2999"/>
    <w:rsid w:val="008C08D8"/>
    <w:rsid w:val="008C1C1E"/>
    <w:rsid w:val="008C6E5C"/>
    <w:rsid w:val="008C7A3D"/>
    <w:rsid w:val="008D0928"/>
    <w:rsid w:val="008D3D34"/>
    <w:rsid w:val="008D6D1B"/>
    <w:rsid w:val="008E1778"/>
    <w:rsid w:val="009115C2"/>
    <w:rsid w:val="00917496"/>
    <w:rsid w:val="009223DD"/>
    <w:rsid w:val="009307D6"/>
    <w:rsid w:val="00937504"/>
    <w:rsid w:val="00945FA6"/>
    <w:rsid w:val="00946934"/>
    <w:rsid w:val="009502B1"/>
    <w:rsid w:val="0095263B"/>
    <w:rsid w:val="009558D4"/>
    <w:rsid w:val="009623C7"/>
    <w:rsid w:val="00974595"/>
    <w:rsid w:val="00980AD8"/>
    <w:rsid w:val="00982043"/>
    <w:rsid w:val="009844D1"/>
    <w:rsid w:val="00984738"/>
    <w:rsid w:val="00985D64"/>
    <w:rsid w:val="009A21D0"/>
    <w:rsid w:val="009A5C66"/>
    <w:rsid w:val="009B2AEF"/>
    <w:rsid w:val="009B555B"/>
    <w:rsid w:val="009B568B"/>
    <w:rsid w:val="009B67DB"/>
    <w:rsid w:val="009C040C"/>
    <w:rsid w:val="009C0482"/>
    <w:rsid w:val="009C063C"/>
    <w:rsid w:val="009C2ED3"/>
    <w:rsid w:val="009C4436"/>
    <w:rsid w:val="009C6C78"/>
    <w:rsid w:val="009D498D"/>
    <w:rsid w:val="009E46CB"/>
    <w:rsid w:val="009F1A76"/>
    <w:rsid w:val="009F436F"/>
    <w:rsid w:val="009F5476"/>
    <w:rsid w:val="009F6A33"/>
    <w:rsid w:val="009F7B6F"/>
    <w:rsid w:val="00A0272E"/>
    <w:rsid w:val="00A1361A"/>
    <w:rsid w:val="00A15A84"/>
    <w:rsid w:val="00A166A9"/>
    <w:rsid w:val="00A2729E"/>
    <w:rsid w:val="00A27374"/>
    <w:rsid w:val="00A32756"/>
    <w:rsid w:val="00A46FFE"/>
    <w:rsid w:val="00A5346B"/>
    <w:rsid w:val="00A54060"/>
    <w:rsid w:val="00A65C95"/>
    <w:rsid w:val="00A73E4D"/>
    <w:rsid w:val="00A7643D"/>
    <w:rsid w:val="00A86078"/>
    <w:rsid w:val="00A91F8B"/>
    <w:rsid w:val="00A939D0"/>
    <w:rsid w:val="00A963A5"/>
    <w:rsid w:val="00A964EE"/>
    <w:rsid w:val="00A96C1C"/>
    <w:rsid w:val="00AA58B7"/>
    <w:rsid w:val="00AB00F9"/>
    <w:rsid w:val="00AB1F66"/>
    <w:rsid w:val="00AB2F4B"/>
    <w:rsid w:val="00AB518B"/>
    <w:rsid w:val="00AC032B"/>
    <w:rsid w:val="00AC2F16"/>
    <w:rsid w:val="00AC4ADD"/>
    <w:rsid w:val="00AD1982"/>
    <w:rsid w:val="00AD474E"/>
    <w:rsid w:val="00AD5059"/>
    <w:rsid w:val="00AE34C4"/>
    <w:rsid w:val="00AF08A8"/>
    <w:rsid w:val="00B06851"/>
    <w:rsid w:val="00B07AD8"/>
    <w:rsid w:val="00B12665"/>
    <w:rsid w:val="00B15C20"/>
    <w:rsid w:val="00B1671B"/>
    <w:rsid w:val="00B2404F"/>
    <w:rsid w:val="00B32290"/>
    <w:rsid w:val="00B3244D"/>
    <w:rsid w:val="00B36222"/>
    <w:rsid w:val="00B37369"/>
    <w:rsid w:val="00B40771"/>
    <w:rsid w:val="00B41201"/>
    <w:rsid w:val="00B4315E"/>
    <w:rsid w:val="00B44275"/>
    <w:rsid w:val="00B44DCB"/>
    <w:rsid w:val="00B45489"/>
    <w:rsid w:val="00B4665A"/>
    <w:rsid w:val="00B466E8"/>
    <w:rsid w:val="00B565BC"/>
    <w:rsid w:val="00B57F8E"/>
    <w:rsid w:val="00B70A14"/>
    <w:rsid w:val="00B71124"/>
    <w:rsid w:val="00B73739"/>
    <w:rsid w:val="00B82C94"/>
    <w:rsid w:val="00B848AA"/>
    <w:rsid w:val="00B92106"/>
    <w:rsid w:val="00B94FF0"/>
    <w:rsid w:val="00B97798"/>
    <w:rsid w:val="00BA00F1"/>
    <w:rsid w:val="00BA172E"/>
    <w:rsid w:val="00BA34E9"/>
    <w:rsid w:val="00BC44D5"/>
    <w:rsid w:val="00BE1B4B"/>
    <w:rsid w:val="00BE7DF0"/>
    <w:rsid w:val="00C03B20"/>
    <w:rsid w:val="00C06E5E"/>
    <w:rsid w:val="00C126C8"/>
    <w:rsid w:val="00C1375D"/>
    <w:rsid w:val="00C209EA"/>
    <w:rsid w:val="00C23810"/>
    <w:rsid w:val="00C261F5"/>
    <w:rsid w:val="00C31289"/>
    <w:rsid w:val="00C361B1"/>
    <w:rsid w:val="00C447B2"/>
    <w:rsid w:val="00C467C0"/>
    <w:rsid w:val="00C535B5"/>
    <w:rsid w:val="00C56AB6"/>
    <w:rsid w:val="00C6067E"/>
    <w:rsid w:val="00C70708"/>
    <w:rsid w:val="00C75560"/>
    <w:rsid w:val="00C80963"/>
    <w:rsid w:val="00C90981"/>
    <w:rsid w:val="00C947B3"/>
    <w:rsid w:val="00C95557"/>
    <w:rsid w:val="00C97187"/>
    <w:rsid w:val="00C971BF"/>
    <w:rsid w:val="00CB55C9"/>
    <w:rsid w:val="00CC08DC"/>
    <w:rsid w:val="00CC1001"/>
    <w:rsid w:val="00CC49A3"/>
    <w:rsid w:val="00CD120D"/>
    <w:rsid w:val="00CE50E3"/>
    <w:rsid w:val="00CE67D0"/>
    <w:rsid w:val="00CE6AFA"/>
    <w:rsid w:val="00CF30C5"/>
    <w:rsid w:val="00CF40F0"/>
    <w:rsid w:val="00CF4D54"/>
    <w:rsid w:val="00CF6CB1"/>
    <w:rsid w:val="00D007D7"/>
    <w:rsid w:val="00D00A6A"/>
    <w:rsid w:val="00D0738E"/>
    <w:rsid w:val="00D109DA"/>
    <w:rsid w:val="00D111C3"/>
    <w:rsid w:val="00D1182E"/>
    <w:rsid w:val="00D15897"/>
    <w:rsid w:val="00D1612C"/>
    <w:rsid w:val="00D16F37"/>
    <w:rsid w:val="00D22812"/>
    <w:rsid w:val="00D236D5"/>
    <w:rsid w:val="00D24B82"/>
    <w:rsid w:val="00D338EE"/>
    <w:rsid w:val="00D36EB1"/>
    <w:rsid w:val="00D42557"/>
    <w:rsid w:val="00D43B9B"/>
    <w:rsid w:val="00D4416C"/>
    <w:rsid w:val="00D44FB4"/>
    <w:rsid w:val="00D45F59"/>
    <w:rsid w:val="00D47CBA"/>
    <w:rsid w:val="00D53CC5"/>
    <w:rsid w:val="00D56128"/>
    <w:rsid w:val="00D6264C"/>
    <w:rsid w:val="00D6411E"/>
    <w:rsid w:val="00D642C2"/>
    <w:rsid w:val="00D71E70"/>
    <w:rsid w:val="00D77635"/>
    <w:rsid w:val="00D85F8C"/>
    <w:rsid w:val="00D873AB"/>
    <w:rsid w:val="00D91B0A"/>
    <w:rsid w:val="00DA1001"/>
    <w:rsid w:val="00DA26EC"/>
    <w:rsid w:val="00DB776F"/>
    <w:rsid w:val="00DC33F4"/>
    <w:rsid w:val="00DD0E88"/>
    <w:rsid w:val="00DD1AC3"/>
    <w:rsid w:val="00DE4D59"/>
    <w:rsid w:val="00DF2BDA"/>
    <w:rsid w:val="00E009A5"/>
    <w:rsid w:val="00E055C0"/>
    <w:rsid w:val="00E12835"/>
    <w:rsid w:val="00E13DDD"/>
    <w:rsid w:val="00E269E8"/>
    <w:rsid w:val="00E26A0B"/>
    <w:rsid w:val="00E26DCE"/>
    <w:rsid w:val="00E36E85"/>
    <w:rsid w:val="00E46683"/>
    <w:rsid w:val="00E5351A"/>
    <w:rsid w:val="00E648E3"/>
    <w:rsid w:val="00E65F84"/>
    <w:rsid w:val="00E72535"/>
    <w:rsid w:val="00E74F45"/>
    <w:rsid w:val="00E75A00"/>
    <w:rsid w:val="00E76833"/>
    <w:rsid w:val="00E82EDA"/>
    <w:rsid w:val="00E8563A"/>
    <w:rsid w:val="00E964F9"/>
    <w:rsid w:val="00E96611"/>
    <w:rsid w:val="00EA03C8"/>
    <w:rsid w:val="00EA4BDF"/>
    <w:rsid w:val="00EA67DB"/>
    <w:rsid w:val="00EB4374"/>
    <w:rsid w:val="00EB6585"/>
    <w:rsid w:val="00ED3772"/>
    <w:rsid w:val="00ED3CA7"/>
    <w:rsid w:val="00ED6EF3"/>
    <w:rsid w:val="00EE2602"/>
    <w:rsid w:val="00EE4BA2"/>
    <w:rsid w:val="00EE652B"/>
    <w:rsid w:val="00EF4C27"/>
    <w:rsid w:val="00F00E39"/>
    <w:rsid w:val="00F0525F"/>
    <w:rsid w:val="00F07E52"/>
    <w:rsid w:val="00F110F6"/>
    <w:rsid w:val="00F1689B"/>
    <w:rsid w:val="00F20A2A"/>
    <w:rsid w:val="00F20DC5"/>
    <w:rsid w:val="00F31501"/>
    <w:rsid w:val="00F337CB"/>
    <w:rsid w:val="00F44D73"/>
    <w:rsid w:val="00F51533"/>
    <w:rsid w:val="00F543DB"/>
    <w:rsid w:val="00F5601C"/>
    <w:rsid w:val="00F56117"/>
    <w:rsid w:val="00F629E7"/>
    <w:rsid w:val="00F6304D"/>
    <w:rsid w:val="00F74CA8"/>
    <w:rsid w:val="00F76EBF"/>
    <w:rsid w:val="00F772E9"/>
    <w:rsid w:val="00F80B81"/>
    <w:rsid w:val="00F8337F"/>
    <w:rsid w:val="00F90A09"/>
    <w:rsid w:val="00F90C5D"/>
    <w:rsid w:val="00F91EF1"/>
    <w:rsid w:val="00FA0FE6"/>
    <w:rsid w:val="00FA6E1F"/>
    <w:rsid w:val="00FB372B"/>
    <w:rsid w:val="00FB3C03"/>
    <w:rsid w:val="00FC0489"/>
    <w:rsid w:val="00FC2144"/>
    <w:rsid w:val="00FC70E6"/>
    <w:rsid w:val="00FD7606"/>
    <w:rsid w:val="00FD7F45"/>
    <w:rsid w:val="00FE11CE"/>
    <w:rsid w:val="00FF1149"/>
    <w:rsid w:val="00FF4A5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2CCCB"/>
  <w15:docId w15:val="{DB52D68D-ECD3-4CAD-9F12-1C20320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CG Times (W1)" w:hAnsi="CG Times (W1)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G Times (W1)" w:hAnsi="CG Times (W1)"/>
      <w:position w:val="6"/>
      <w:sz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notentext">
    <w:name w:val="footnote text"/>
    <w:basedOn w:val="Standard"/>
    <w:link w:val="FunotentextZchn"/>
    <w:semiHidden/>
    <w:pPr>
      <w:ind w:left="397" w:hanging="397"/>
      <w:jc w:val="both"/>
    </w:pPr>
    <w:rPr>
      <w:rFonts w:ascii="CG Times (W1)" w:hAnsi="CG Times (W1)"/>
    </w:rPr>
  </w:style>
  <w:style w:type="paragraph" w:customStyle="1" w:styleId="normalerabsatz">
    <w:name w:val="normaler absatz"/>
    <w:pPr>
      <w:spacing w:line="288" w:lineRule="exact"/>
      <w:jc w:val="both"/>
    </w:pPr>
    <w:rPr>
      <w:rFonts w:ascii="Times" w:hAnsi="Times"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260" w:lineRule="exact"/>
      <w:jc w:val="both"/>
    </w:pPr>
    <w:rPr>
      <w:rFonts w:ascii="Garamond" w:hAnsi="Garamond"/>
      <w:sz w:val="24"/>
    </w:rPr>
  </w:style>
  <w:style w:type="paragraph" w:styleId="Textkrper-Einzug2">
    <w:name w:val="Body Text Indent 2"/>
    <w:basedOn w:val="Standard"/>
    <w:pPr>
      <w:tabs>
        <w:tab w:val="left" w:pos="567"/>
      </w:tabs>
      <w:spacing w:line="360" w:lineRule="auto"/>
      <w:ind w:left="284" w:hanging="284"/>
    </w:pPr>
    <w:rPr>
      <w:rFonts w:ascii="Garamond" w:hAnsi="Garamond"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21DF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12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612CB7"/>
    <w:rPr>
      <w:rFonts w:ascii="Courier New" w:hAnsi="Courier New" w:cs="Courier New"/>
    </w:rPr>
  </w:style>
  <w:style w:type="paragraph" w:styleId="Textkrper-Zeileneinzug">
    <w:name w:val="Body Text Indent"/>
    <w:basedOn w:val="Standard"/>
    <w:link w:val="Textkrper-ZeileneinzugZchn"/>
    <w:rsid w:val="001E0C6D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1E0C6D"/>
    <w:rPr>
      <w:rFonts w:ascii="Arial" w:hAnsi="Arial"/>
    </w:rPr>
  </w:style>
  <w:style w:type="character" w:customStyle="1" w:styleId="FunotentextZchn">
    <w:name w:val="Fußnotentext Zchn"/>
    <w:link w:val="Funotentext"/>
    <w:semiHidden/>
    <w:rsid w:val="00984738"/>
    <w:rPr>
      <w:rFonts w:ascii="CG Times (W1)" w:hAnsi="CG Times (W1)"/>
    </w:rPr>
  </w:style>
  <w:style w:type="paragraph" w:customStyle="1" w:styleId="Absatz1">
    <w:name w:val="Absatz 1"/>
    <w:basedOn w:val="normalerabsatz"/>
    <w:rsid w:val="00984738"/>
    <w:pPr>
      <w:spacing w:line="240" w:lineRule="exact"/>
    </w:pPr>
    <w:rPr>
      <w:rFonts w:ascii="Garamond" w:hAnsi="Garamond"/>
      <w:sz w:val="21"/>
    </w:rPr>
  </w:style>
  <w:style w:type="paragraph" w:customStyle="1" w:styleId="Absatz2">
    <w:name w:val="Absatz 2"/>
    <w:basedOn w:val="Absatz1"/>
    <w:rsid w:val="000777AB"/>
    <w:pPr>
      <w:ind w:firstLine="284"/>
    </w:pPr>
  </w:style>
  <w:style w:type="paragraph" w:styleId="NurText">
    <w:name w:val="Plain Text"/>
    <w:basedOn w:val="Standard"/>
    <w:link w:val="NurTextZchn"/>
    <w:uiPriority w:val="99"/>
    <w:unhideWhenUsed/>
    <w:rsid w:val="00314AC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14AC3"/>
    <w:rPr>
      <w:rFonts w:ascii="Calibri" w:eastAsia="Calibri" w:hAnsi="Calibri" w:cs="Consolas"/>
      <w:sz w:val="22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7678"/>
    <w:rPr>
      <w:sz w:val="16"/>
      <w:szCs w:val="16"/>
    </w:rPr>
  </w:style>
  <w:style w:type="paragraph" w:customStyle="1" w:styleId="900">
    <w:name w:val="900"/>
    <w:basedOn w:val="Standard"/>
    <w:rsid w:val="00497678"/>
    <w:pPr>
      <w:spacing w:line="360" w:lineRule="auto"/>
    </w:pPr>
    <w:rPr>
      <w:rFonts w:ascii="Times New Roman" w:eastAsia="Calibri" w:hAnsi="Times New Roman"/>
      <w:b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9767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462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964EE"/>
    <w:rPr>
      <w:color w:val="954F72" w:themeColor="followedHyperlink"/>
      <w:u w:val="single"/>
    </w:rPr>
  </w:style>
  <w:style w:type="paragraph" w:customStyle="1" w:styleId="Default">
    <w:name w:val="Default"/>
    <w:rsid w:val="00AB51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AB518B"/>
    <w:rPr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AB518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405/15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658-19416-1_31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3323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Publikationsliste</vt:lpstr>
    </vt:vector>
  </TitlesOfParts>
  <Company> </Company>
  <LinksUpToDate>false</LinksUpToDate>
  <CharactersWithSpaces>24215</CharactersWithSpaces>
  <SharedDoc>false</SharedDoc>
  <HLinks>
    <vt:vector size="6" baseType="variant"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https://doi.org/10.1007/978-3-658-19416-1_31-1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Publikationsliste</dc:title>
  <dc:subject/>
  <dc:creator>Heinrich Groppe</dc:creator>
  <cp:keywords/>
  <cp:lastModifiedBy>Timm Gerd Hellmanzik</cp:lastModifiedBy>
  <cp:revision>45</cp:revision>
  <cp:lastPrinted>2009-06-05T15:11:00Z</cp:lastPrinted>
  <dcterms:created xsi:type="dcterms:W3CDTF">2022-08-22T20:43:00Z</dcterms:created>
  <dcterms:modified xsi:type="dcterms:W3CDTF">2024-04-11T08:31:00Z</dcterms:modified>
</cp:coreProperties>
</file>